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9151" w14:textId="77777777" w:rsidR="0026778B" w:rsidRPr="002012E8" w:rsidRDefault="0026778B" w:rsidP="0026778B">
      <w:pPr>
        <w:pStyle w:val="berschrift2"/>
        <w:rPr>
          <w:rFonts w:ascii="Cambria" w:hAnsi="Cambria"/>
          <w:sz w:val="24"/>
        </w:rPr>
      </w:pPr>
      <w:r>
        <w:rPr>
          <w:rFonts w:ascii="Cambria" w:hAnsi="Cambria"/>
          <w:sz w:val="24"/>
        </w:rPr>
        <w:t>Formen der indirekten Rede- und Textwiedergabe</w:t>
      </w:r>
    </w:p>
    <w:p w14:paraId="7E470B24" w14:textId="4528D6D1" w:rsidR="00017E5B" w:rsidRPr="003C698F" w:rsidRDefault="005A5688" w:rsidP="0026778B">
      <w:pPr>
        <w:pStyle w:val="berschrift2"/>
        <w:rPr>
          <w:sz w:val="12"/>
        </w:rPr>
      </w:pPr>
      <w:r>
        <w:rPr>
          <w:rFonts w:asciiTheme="minorHAnsi" w:hAnsiTheme="minorHAnsi"/>
          <w:sz w:val="32"/>
        </w:rPr>
        <w:t>Parenthese</w:t>
      </w:r>
    </w:p>
    <w:p w14:paraId="06836509" w14:textId="77777777" w:rsidR="00017E5B" w:rsidRPr="003C698F" w:rsidRDefault="00017E5B" w:rsidP="00017E5B">
      <w:pPr>
        <w:ind w:firstLine="709"/>
        <w:rPr>
          <w:sz w:val="18"/>
          <w:szCs w:val="22"/>
        </w:rPr>
        <w:sectPr w:rsidR="00017E5B" w:rsidRPr="003C698F" w:rsidSect="00017E5B">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46DBBD16" w14:textId="1058A7D7" w:rsidR="004867C5" w:rsidRPr="004867C5" w:rsidRDefault="004867C5" w:rsidP="005A5688">
      <w:pPr>
        <w:spacing w:before="60"/>
      </w:pPr>
      <w:r w:rsidRPr="004867C5">
        <w:lastRenderedPageBreak/>
        <w:t xml:space="preserve">Bei der indirekten Wiedergabe wird auch häufig mit einer Parenthese, meistens in Form eines </w:t>
      </w:r>
      <w:bookmarkStart w:id="0" w:name="_GoBack"/>
      <w:bookmarkEnd w:id="0"/>
      <w:r w:rsidRPr="004867C5">
        <w:t xml:space="preserve">so genannten Schaltsatzes, zum Ausdruck gebracht, dass Äußerungen eines anderen wiedergegeben werden. </w:t>
      </w:r>
    </w:p>
    <w:p w14:paraId="76F1CA68" w14:textId="77777777" w:rsidR="004867C5" w:rsidRPr="004867C5" w:rsidRDefault="004867C5" w:rsidP="005A5688">
      <w:pPr>
        <w:spacing w:after="120"/>
      </w:pPr>
      <w:r w:rsidRPr="004867C5">
        <w:t xml:space="preserve">Dabei wird die Parenthese </w:t>
      </w:r>
      <w:r w:rsidRPr="004867C5">
        <w:rPr>
          <w:b/>
          <w:bCs/>
        </w:rPr>
        <w:t>meistens in Gedankenstriche eingeschlossen</w:t>
      </w:r>
      <w:r w:rsidRPr="004867C5">
        <w:t>. Man findet diese Form der indirekten Wiedergabe sowohl bei schriftlichen als auch mündlichen Äußerungen. In der Schule wird sie z. B. bei der strukturierten Textwiedergabe verwendet, aber auch bei den journalistischen Darstellungsformen ist sie weit verbreitet.</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firstRow="0" w:lastRow="0" w:firstColumn="0" w:lastColumn="0" w:noHBand="0" w:noVBand="0"/>
      </w:tblPr>
      <w:tblGrid>
        <w:gridCol w:w="4524"/>
        <w:gridCol w:w="4524"/>
      </w:tblGrid>
      <w:tr w:rsidR="004867C5" w:rsidRPr="004867C5" w14:paraId="4F13CBA3" w14:textId="77777777" w:rsidTr="00D00705">
        <w:trPr>
          <w:trHeight w:val="675"/>
        </w:trPr>
        <w:tc>
          <w:tcPr>
            <w:tcW w:w="5000" w:type="pct"/>
            <w:gridSpan w:val="2"/>
            <w:tcBorders>
              <w:top w:val="outset" w:sz="6" w:space="0" w:color="808080"/>
              <w:left w:val="outset" w:sz="6" w:space="0" w:color="808080"/>
              <w:bottom w:val="outset" w:sz="6" w:space="0" w:color="808080"/>
              <w:right w:val="outset" w:sz="6" w:space="0" w:color="808080"/>
            </w:tcBorders>
            <w:shd w:val="clear" w:color="auto" w:fill="ECE9D8"/>
            <w:vAlign w:val="center"/>
          </w:tcPr>
          <w:p w14:paraId="34EEFAAF" w14:textId="77777777" w:rsidR="004867C5" w:rsidRPr="005A5688" w:rsidRDefault="004867C5" w:rsidP="005A5688">
            <w:pPr>
              <w:spacing w:before="120" w:after="120"/>
              <w:ind w:left="170"/>
              <w:rPr>
                <w:rFonts w:asciiTheme="majorHAnsi" w:hAnsiTheme="majorHAnsi"/>
                <w:sz w:val="18"/>
                <w:szCs w:val="18"/>
              </w:rPr>
            </w:pPr>
            <w:r w:rsidRPr="005A5688">
              <w:rPr>
                <w:rFonts w:asciiTheme="majorHAnsi" w:hAnsiTheme="majorHAnsi"/>
                <w:sz w:val="20"/>
                <w:szCs w:val="18"/>
              </w:rPr>
              <w:t>Frau Kern hat sich im Gespräch mit der Klassenlehrerin ihres Sohnes Kai Rat geholt (Bild links). Am nächsten Tag äußert sie sich gegenüber Kai. (Bild rechts)</w:t>
            </w:r>
          </w:p>
        </w:tc>
      </w:tr>
      <w:tr w:rsidR="004867C5" w:rsidRPr="004867C5" w14:paraId="0C9DC0EC" w14:textId="77777777" w:rsidTr="00D00705">
        <w:tc>
          <w:tcPr>
            <w:tcW w:w="2500" w:type="pct"/>
            <w:tcBorders>
              <w:top w:val="outset" w:sz="6" w:space="0" w:color="808080"/>
              <w:left w:val="outset" w:sz="6" w:space="0" w:color="808080"/>
              <w:bottom w:val="outset" w:sz="6" w:space="0" w:color="808080"/>
              <w:right w:val="outset" w:sz="6" w:space="0" w:color="808080"/>
            </w:tcBorders>
            <w:vAlign w:val="center"/>
          </w:tcPr>
          <w:p w14:paraId="457811AB" w14:textId="17CA99AE" w:rsidR="004867C5" w:rsidRPr="004867C5" w:rsidRDefault="004867C5" w:rsidP="007F6FDC">
            <w:pPr>
              <w:spacing w:before="240" w:after="240"/>
              <w:jc w:val="center"/>
            </w:pPr>
            <w:r w:rsidRPr="004867C5">
              <w:drawing>
                <wp:inline distT="0" distB="0" distL="0" distR="0" wp14:anchorId="11A89DDD" wp14:editId="3C4AAC8E">
                  <wp:extent cx="2413635" cy="20840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t="-5797"/>
                          <a:stretch>
                            <a:fillRect/>
                          </a:stretch>
                        </pic:blipFill>
                        <pic:spPr bwMode="auto">
                          <a:xfrm>
                            <a:off x="0" y="0"/>
                            <a:ext cx="2413635" cy="2084070"/>
                          </a:xfrm>
                          <a:prstGeom prst="rect">
                            <a:avLst/>
                          </a:prstGeom>
                          <a:noFill/>
                          <a:ln>
                            <a:noFill/>
                          </a:ln>
                        </pic:spPr>
                      </pic:pic>
                    </a:graphicData>
                  </a:graphic>
                </wp:inline>
              </w:drawing>
            </w:r>
          </w:p>
        </w:tc>
        <w:tc>
          <w:tcPr>
            <w:tcW w:w="2500" w:type="pct"/>
            <w:tcBorders>
              <w:top w:val="outset" w:sz="6" w:space="0" w:color="808080"/>
              <w:left w:val="outset" w:sz="6" w:space="0" w:color="808080"/>
              <w:bottom w:val="outset" w:sz="6" w:space="0" w:color="808080"/>
              <w:right w:val="outset" w:sz="6" w:space="0" w:color="808080"/>
            </w:tcBorders>
            <w:vAlign w:val="center"/>
          </w:tcPr>
          <w:p w14:paraId="2A4AA4B7" w14:textId="61CC145D" w:rsidR="004867C5" w:rsidRPr="004867C5" w:rsidRDefault="004867C5" w:rsidP="007F6FDC">
            <w:pPr>
              <w:spacing w:before="240" w:after="240"/>
              <w:jc w:val="center"/>
            </w:pPr>
            <w:r w:rsidRPr="004867C5">
              <w:drawing>
                <wp:inline distT="0" distB="0" distL="0" distR="0" wp14:anchorId="0CBCECF9" wp14:editId="15B527FF">
                  <wp:extent cx="2413635" cy="2158365"/>
                  <wp:effectExtent l="0" t="0" r="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t="-5608"/>
                          <a:stretch>
                            <a:fillRect/>
                          </a:stretch>
                        </pic:blipFill>
                        <pic:spPr bwMode="auto">
                          <a:xfrm>
                            <a:off x="0" y="0"/>
                            <a:ext cx="2413635" cy="2158365"/>
                          </a:xfrm>
                          <a:prstGeom prst="rect">
                            <a:avLst/>
                          </a:prstGeom>
                          <a:noFill/>
                          <a:ln>
                            <a:noFill/>
                          </a:ln>
                        </pic:spPr>
                      </pic:pic>
                    </a:graphicData>
                  </a:graphic>
                </wp:inline>
              </w:drawing>
            </w:r>
          </w:p>
        </w:tc>
      </w:tr>
    </w:tbl>
    <w:p w14:paraId="1AFED94E" w14:textId="77777777" w:rsidR="004867C5" w:rsidRPr="004867C5" w:rsidRDefault="004867C5" w:rsidP="005A5688">
      <w:pPr>
        <w:spacing w:before="120"/>
      </w:pPr>
      <w:r w:rsidRPr="004867C5">
        <w:t xml:space="preserve">Bei indirekten Wiedergabe mit Parenthese ist nicht wirklich sicher, ob damit das, was die Klassenlehrerin tatsächlich gesagt hat, auch wirklich wiedergegeben wird. Dies kann auch durch die Verwendung des Konjunktivs bei dieser Form der indirekten Wiedergabe nicht erreicht werden, denn der Konjunktiv ist hier stilistisch kaum möglich. </w:t>
      </w:r>
    </w:p>
    <w:p w14:paraId="3DE34853" w14:textId="77777777" w:rsidR="004867C5" w:rsidRPr="004867C5" w:rsidRDefault="004867C5" w:rsidP="005A5688">
      <w:pPr>
        <w:spacing w:before="120" w:after="120"/>
        <w:rPr>
          <w:b/>
          <w:bCs/>
        </w:rPr>
      </w:pPr>
      <w:r w:rsidRPr="004867C5">
        <w:rPr>
          <w:b/>
          <w:bCs/>
        </w:rPr>
        <w:t>Sprachliche Varianten</w:t>
      </w:r>
    </w:p>
    <w:p w14:paraId="535A5A77" w14:textId="77777777" w:rsidR="004867C5" w:rsidRPr="004867C5" w:rsidRDefault="004867C5" w:rsidP="005A5688">
      <w:pPr>
        <w:spacing w:after="60"/>
      </w:pPr>
      <w:r w:rsidRPr="004867C5">
        <w:t xml:space="preserve">Die Parenthese kann als Signal für indirekte Wiedergabe eine unterschiedliche Länge aufweisen. Sie kann </w:t>
      </w:r>
    </w:p>
    <w:p w14:paraId="4C4D578E" w14:textId="77777777" w:rsidR="004867C5" w:rsidRPr="004867C5" w:rsidRDefault="004867C5" w:rsidP="005A5688">
      <w:pPr>
        <w:numPr>
          <w:ilvl w:val="0"/>
          <w:numId w:val="38"/>
        </w:numPr>
        <w:spacing w:after="60"/>
      </w:pPr>
      <w:r w:rsidRPr="004867C5">
        <w:rPr>
          <w:b/>
          <w:bCs/>
        </w:rPr>
        <w:t xml:space="preserve">als ganzer Satz einen unabhängigen Einschub in einem anderen Satz darstellen </w:t>
      </w:r>
      <w:r w:rsidRPr="004867C5">
        <w:t>(Schaltsatz)</w:t>
      </w:r>
    </w:p>
    <w:p w14:paraId="4E24B1A2" w14:textId="4AC5D862" w:rsidR="004867C5" w:rsidRPr="005A5688" w:rsidRDefault="004867C5" w:rsidP="005A5688">
      <w:pPr>
        <w:spacing w:after="60"/>
        <w:ind w:left="360"/>
        <w:rPr>
          <w:sz w:val="21"/>
        </w:rPr>
      </w:pPr>
      <w:r w:rsidRPr="005A5688">
        <w:rPr>
          <w:b/>
          <w:bCs/>
          <w:sz w:val="21"/>
        </w:rPr>
        <w:t>Beispiel</w:t>
      </w:r>
      <w:r w:rsidRPr="005A5688">
        <w:rPr>
          <w:sz w:val="21"/>
        </w:rPr>
        <w:t xml:space="preserve">: "Ich muss - so jedenfalls sagt deine Klassenlehrerin - zu Hause etwas gegen </w:t>
      </w:r>
      <w:r w:rsidR="005A5688" w:rsidRPr="005A5688">
        <w:rPr>
          <w:sz w:val="21"/>
        </w:rPr>
        <w:t>d</w:t>
      </w:r>
      <w:r w:rsidRPr="005A5688">
        <w:rPr>
          <w:sz w:val="21"/>
        </w:rPr>
        <w:t>ein übermäßiges Computerspielen unternehmen."</w:t>
      </w:r>
    </w:p>
    <w:p w14:paraId="70BF85E4" w14:textId="77777777" w:rsidR="004867C5" w:rsidRPr="004867C5" w:rsidRDefault="004867C5" w:rsidP="005A5688">
      <w:pPr>
        <w:numPr>
          <w:ilvl w:val="0"/>
          <w:numId w:val="38"/>
        </w:numPr>
        <w:spacing w:after="60"/>
        <w:rPr>
          <w:b/>
          <w:bCs/>
        </w:rPr>
      </w:pPr>
      <w:r w:rsidRPr="004867C5">
        <w:rPr>
          <w:b/>
          <w:bCs/>
        </w:rPr>
        <w:t>als satzartiger Ausdruck in einen anderen Satz eingeschoben sein</w:t>
      </w:r>
    </w:p>
    <w:p w14:paraId="7E806732" w14:textId="77777777" w:rsidR="004867C5" w:rsidRPr="005A5688" w:rsidRDefault="004867C5" w:rsidP="005A5688">
      <w:pPr>
        <w:spacing w:after="60"/>
        <w:ind w:left="360"/>
        <w:rPr>
          <w:sz w:val="21"/>
        </w:rPr>
      </w:pPr>
      <w:r w:rsidRPr="005A5688">
        <w:rPr>
          <w:b/>
          <w:bCs/>
          <w:sz w:val="21"/>
        </w:rPr>
        <w:t>Beispiel</w:t>
      </w:r>
      <w:r w:rsidRPr="005A5688">
        <w:rPr>
          <w:sz w:val="21"/>
        </w:rPr>
        <w:t>: "Ich muss - so jedenfalls deine Klassenlehrerin - zu Hause etwas gegen dein übermäßiges Computerspielen unternehmen.</w:t>
      </w:r>
    </w:p>
    <w:p w14:paraId="02B0B168" w14:textId="78CCAD29" w:rsidR="00D25BC9" w:rsidRPr="005A5688" w:rsidRDefault="004867C5" w:rsidP="005A5688">
      <w:r w:rsidRPr="004867C5">
        <w:t xml:space="preserve">Die besondere stilistische Wirkung der Parenthese entfaltet sich im Wechsel mit anderen Formen der indirekten Wiedergabe, </w:t>
      </w:r>
      <w:r w:rsidR="005A5688" w:rsidRPr="004867C5">
        <w:t>insbesondere,</w:t>
      </w:r>
      <w:r w:rsidRPr="004867C5">
        <w:t xml:space="preserve"> wenn dabei längere Passagen abwechslungsreich wiedergegeben werden sollen. Wie bei der "Quellenangabe" erzielt sie auch dadurch eine besondere Wirkung, dass sie sich im Allgemeinen der Primäräußerung stilistisch unterordnet und damit die Aufmerksamkeit auf deren Inhalt lenkt.</w:t>
      </w:r>
    </w:p>
    <w:sectPr w:rsidR="00D25BC9" w:rsidRPr="005A5688" w:rsidSect="00B27EC3">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BC85C" w14:textId="77777777" w:rsidR="00B84D54" w:rsidRDefault="00B84D54" w:rsidP="003016EC">
      <w:r>
        <w:separator/>
      </w:r>
    </w:p>
  </w:endnote>
  <w:endnote w:type="continuationSeparator" w:id="0">
    <w:p w14:paraId="7D8285E2" w14:textId="77777777" w:rsidR="00B84D54" w:rsidRDefault="00B84D54"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2AEF" w:usb1="D000A1FF" w:usb2="00000038" w:usb3="00000000" w:csb0="000001BF" w:csb1="00000000"/>
  </w:font>
  <w:font w:name="PMingLiU">
    <w:panose1 w:val="02020500000000000000"/>
    <w:charset w:val="88"/>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7C68" w14:textId="77777777" w:rsidR="00017E5B" w:rsidRPr="001B52BE" w:rsidRDefault="00017E5B" w:rsidP="001B52B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6432" behindDoc="0" locked="0" layoutInCell="1" allowOverlap="1" wp14:anchorId="207D56CA" wp14:editId="03774001">
          <wp:simplePos x="0" y="0"/>
          <wp:positionH relativeFrom="column">
            <wp:posOffset>5016500</wp:posOffset>
          </wp:positionH>
          <wp:positionV relativeFrom="paragraph">
            <wp:posOffset>192405</wp:posOffset>
          </wp:positionV>
          <wp:extent cx="571500" cy="215900"/>
          <wp:effectExtent l="0" t="0" r="0" b="0"/>
          <wp:wrapSquare wrapText="bothSides"/>
          <wp:docPr id="6"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Link"/>
          <w:rFonts w:ascii="Cambria" w:hAnsi="Cambria" w:cs="Arial"/>
          <w:sz w:val="16"/>
          <w:szCs w:val="16"/>
          <w:u w:val="none"/>
        </w:rPr>
        <w:t>Creative Commons Namensnennung - Weitergabe unter gleichen Bedingungen 4.0 International Lizenz</w:t>
      </w:r>
      <w:r w:rsidRPr="00382238">
        <w:rPr>
          <w:rStyle w:val="Link"/>
          <w:rFonts w:ascii="Cambria" w:hAnsi="Cambria" w:cs="Helvetica Neue"/>
          <w:sz w:val="16"/>
          <w:szCs w:val="16"/>
          <w:u w:val="none"/>
        </w:rPr>
        <w:t>, CC-BY- SA</w:t>
      </w:r>
    </w:hyperlink>
    <w:r>
      <w:rPr>
        <w:rFonts w:ascii="Cambria" w:hAnsi="Cambria" w:cs="Helvetica Neue"/>
        <w:sz w:val="16"/>
        <w:szCs w:val="16"/>
      </w:rPr>
      <w:t xml:space="preserve">  -  </w:t>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under a Creative Commons license BY-ND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AAF82" w14:textId="77777777" w:rsidR="00017E5B" w:rsidRPr="0026014A" w:rsidRDefault="00017E5B"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5408" behindDoc="0" locked="0" layoutInCell="1" allowOverlap="1" wp14:anchorId="10DF17D2" wp14:editId="59A18245">
          <wp:simplePos x="0" y="0"/>
          <wp:positionH relativeFrom="column">
            <wp:posOffset>5016500</wp:posOffset>
          </wp:positionH>
          <wp:positionV relativeFrom="paragraph">
            <wp:posOffset>192405</wp:posOffset>
          </wp:positionV>
          <wp:extent cx="571500" cy="215900"/>
          <wp:effectExtent l="0" t="0" r="0" b="0"/>
          <wp:wrapSquare wrapText="bothSides"/>
          <wp:docPr id="7"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tgtFrame="_blank" w:history="1">
      <w:r w:rsidRPr="00382238">
        <w:rPr>
          <w:rStyle w:val="Link"/>
          <w:rFonts w:ascii="Cambria" w:hAnsi="Cambria" w:cs="Arial"/>
          <w:sz w:val="16"/>
          <w:szCs w:val="16"/>
          <w:u w:val="none"/>
        </w:rPr>
        <w:t>Creative Commons Namensnennung - Weitergabe unter gleichen Bedingungen 4.0 International Lizenz</w:t>
      </w:r>
      <w:r w:rsidRPr="00382238">
        <w:rPr>
          <w:rStyle w:val="Link"/>
          <w:rFonts w:ascii="Cambria" w:hAnsi="Cambria" w:cs="Helvetica Neue"/>
          <w:sz w:val="16"/>
          <w:szCs w:val="16"/>
          <w:u w:val="none"/>
        </w:rPr>
        <w:t>, CC-BY- SA</w:t>
      </w:r>
    </w:hyperlink>
    <w:r>
      <w:rPr>
        <w:rFonts w:ascii="Cambria" w:hAnsi="Cambria" w:cs="Helvetica Neue"/>
        <w:sz w:val="16"/>
        <w:szCs w:val="16"/>
      </w:rPr>
      <w:t xml:space="preserve">  -  </w:t>
    </w:r>
    <w:r w:rsidRPr="0022746E">
      <w:rPr>
        <w:rFonts w:ascii="Cambria" w:hAnsi="Cambria"/>
        <w:sz w:val="16"/>
        <w:szCs w:val="16"/>
      </w:rPr>
      <w:t xml:space="preserve">OER Logo © 2012 </w:t>
    </w:r>
    <w:proofErr w:type="spellStart"/>
    <w:r w:rsidRPr="0022746E">
      <w:rPr>
        <w:rFonts w:ascii="Cambria" w:hAnsi="Cambria"/>
        <w:sz w:val="16"/>
        <w:szCs w:val="16"/>
      </w:rPr>
      <w:t>Jonathas</w:t>
    </w:r>
    <w:proofErr w:type="spellEnd"/>
    <w:r w:rsidRPr="0022746E">
      <w:rPr>
        <w:rFonts w:ascii="Cambria" w:hAnsi="Cambria"/>
        <w:sz w:val="16"/>
        <w:szCs w:val="16"/>
      </w:rPr>
      <w:t xml:space="preserve"> Mello, </w:t>
    </w:r>
    <w:proofErr w:type="spellStart"/>
    <w:r w:rsidRPr="0022746E">
      <w:rPr>
        <w:rFonts w:ascii="Cambria" w:hAnsi="Cambria"/>
        <w:sz w:val="16"/>
        <w:szCs w:val="16"/>
      </w:rPr>
      <w:t>used</w:t>
    </w:r>
    <w:proofErr w:type="spellEnd"/>
    <w:r w:rsidRPr="0022746E">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51725" w14:textId="77777777" w:rsidR="00B84D54" w:rsidRDefault="00B84D54" w:rsidP="003016EC">
      <w:r>
        <w:separator/>
      </w:r>
    </w:p>
  </w:footnote>
  <w:footnote w:type="continuationSeparator" w:id="0">
    <w:p w14:paraId="499F5496" w14:textId="77777777" w:rsidR="00B84D54" w:rsidRDefault="00B84D54" w:rsidP="003016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742E" w14:textId="77777777" w:rsidR="00017E5B" w:rsidRPr="003B0F77" w:rsidRDefault="00017E5B"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64384" behindDoc="0" locked="0" layoutInCell="1" allowOverlap="1" wp14:anchorId="710F9010" wp14:editId="7D16A1DB">
          <wp:simplePos x="0" y="0"/>
          <wp:positionH relativeFrom="column">
            <wp:posOffset>4797425</wp:posOffset>
          </wp:positionH>
          <wp:positionV relativeFrom="paragraph">
            <wp:posOffset>-169545</wp:posOffset>
          </wp:positionV>
          <wp:extent cx="897890" cy="59626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p>
  <w:p w14:paraId="33AFFCED" w14:textId="77777777" w:rsidR="00017E5B" w:rsidRPr="001B6478" w:rsidRDefault="00017E5B" w:rsidP="001B647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FFF7" w14:textId="77777777" w:rsidR="00017E5B" w:rsidRPr="003B0F77" w:rsidRDefault="00017E5B" w:rsidP="001B6478">
    <w:pPr>
      <w:pStyle w:val="Kopfzeile"/>
      <w:tabs>
        <w:tab w:val="clear" w:pos="4536"/>
        <w:tab w:val="center" w:pos="5245"/>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63360" behindDoc="0" locked="0" layoutInCell="1" allowOverlap="1" wp14:anchorId="684C4C10" wp14:editId="520EE53E">
          <wp:simplePos x="0" y="0"/>
          <wp:positionH relativeFrom="column">
            <wp:posOffset>4797425</wp:posOffset>
          </wp:positionH>
          <wp:positionV relativeFrom="paragraph">
            <wp:posOffset>-169545</wp:posOffset>
          </wp:positionV>
          <wp:extent cx="897890" cy="596265"/>
          <wp:effectExtent l="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 xml:space="preserve">                                                                          </w:t>
    </w:r>
    <w:r w:rsidRPr="003B0F77">
      <w:rPr>
        <w:rFonts w:asciiTheme="majorHAnsi" w:hAnsiTheme="majorHAnsi"/>
        <w:sz w:val="20"/>
      </w:rPr>
      <w:t>teachSam-OER 20</w:t>
    </w:r>
    <w:r>
      <w:rPr>
        <w:rFonts w:asciiTheme="majorHAnsi" w:hAnsiTheme="majorHAnsi"/>
        <w:sz w:val="20"/>
      </w:rPr>
      <w:t>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3479F"/>
    <w:multiLevelType w:val="hybridMultilevel"/>
    <w:tmpl w:val="A27E4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6EE5AB7"/>
    <w:multiLevelType w:val="hybridMultilevel"/>
    <w:tmpl w:val="B55C1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D15B24"/>
    <w:multiLevelType w:val="hybridMultilevel"/>
    <w:tmpl w:val="7BA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4B0758"/>
    <w:multiLevelType w:val="hybridMultilevel"/>
    <w:tmpl w:val="FCAE2A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6F286E"/>
    <w:multiLevelType w:val="hybridMultilevel"/>
    <w:tmpl w:val="8CF620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F9590D"/>
    <w:multiLevelType w:val="hybridMultilevel"/>
    <w:tmpl w:val="3D484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EB411A"/>
    <w:multiLevelType w:val="hybridMultilevel"/>
    <w:tmpl w:val="3BDE3F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2A10AEF"/>
    <w:multiLevelType w:val="hybridMultilevel"/>
    <w:tmpl w:val="496AB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BD3688"/>
    <w:multiLevelType w:val="hybridMultilevel"/>
    <w:tmpl w:val="8BD031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0338E6"/>
    <w:multiLevelType w:val="hybridMultilevel"/>
    <w:tmpl w:val="1AA695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B8356F8"/>
    <w:multiLevelType w:val="hybridMultilevel"/>
    <w:tmpl w:val="73980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2CD6440"/>
    <w:multiLevelType w:val="hybridMultilevel"/>
    <w:tmpl w:val="641CE0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0F21296"/>
    <w:multiLevelType w:val="hybridMultilevel"/>
    <w:tmpl w:val="8EF00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19390F"/>
    <w:multiLevelType w:val="hybridMultilevel"/>
    <w:tmpl w:val="6B66A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E1340A"/>
    <w:multiLevelType w:val="hybridMultilevel"/>
    <w:tmpl w:val="3BD2366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6F36C56"/>
    <w:multiLevelType w:val="hybridMultilevel"/>
    <w:tmpl w:val="DA6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FF66EA"/>
    <w:multiLevelType w:val="multilevel"/>
    <w:tmpl w:val="BAAA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BA733F"/>
    <w:multiLevelType w:val="hybridMultilevel"/>
    <w:tmpl w:val="01186D1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9">
    <w:nsid w:val="6F014CAF"/>
    <w:multiLevelType w:val="hybridMultilevel"/>
    <w:tmpl w:val="1F5A39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1261E79"/>
    <w:multiLevelType w:val="hybridMultilevel"/>
    <w:tmpl w:val="4214645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2CF4DAD"/>
    <w:multiLevelType w:val="hybridMultilevel"/>
    <w:tmpl w:val="BC60323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B007473"/>
    <w:multiLevelType w:val="hybridMultilevel"/>
    <w:tmpl w:val="6568C19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B750AC5"/>
    <w:multiLevelType w:val="hybridMultilevel"/>
    <w:tmpl w:val="8D28B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C22074A"/>
    <w:multiLevelType w:val="hybridMultilevel"/>
    <w:tmpl w:val="9368667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nsid w:val="7D7F3EE7"/>
    <w:multiLevelType w:val="hybridMultilevel"/>
    <w:tmpl w:val="D3ECAA8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4"/>
  </w:num>
  <w:num w:numId="4">
    <w:abstractNumId w:val="7"/>
  </w:num>
  <w:num w:numId="5">
    <w:abstractNumId w:val="30"/>
  </w:num>
  <w:num w:numId="6">
    <w:abstractNumId w:val="3"/>
  </w:num>
  <w:num w:numId="7">
    <w:abstractNumId w:val="2"/>
  </w:num>
  <w:num w:numId="8">
    <w:abstractNumId w:val="0"/>
  </w:num>
  <w:num w:numId="9">
    <w:abstractNumId w:val="14"/>
  </w:num>
  <w:num w:numId="10">
    <w:abstractNumId w:val="33"/>
  </w:num>
  <w:num w:numId="11">
    <w:abstractNumId w:val="27"/>
  </w:num>
  <w:num w:numId="12">
    <w:abstractNumId w:val="19"/>
  </w:num>
  <w:num w:numId="13">
    <w:abstractNumId w:val="28"/>
  </w:num>
  <w:num w:numId="14">
    <w:abstractNumId w:val="15"/>
  </w:num>
  <w:num w:numId="15">
    <w:abstractNumId w:val="9"/>
  </w:num>
  <w:num w:numId="16">
    <w:abstractNumId w:val="11"/>
  </w:num>
  <w:num w:numId="17">
    <w:abstractNumId w:val="5"/>
  </w:num>
  <w:num w:numId="18">
    <w:abstractNumId w:val="8"/>
  </w:num>
  <w:num w:numId="19">
    <w:abstractNumId w:val="34"/>
  </w:num>
  <w:num w:numId="20">
    <w:abstractNumId w:val="23"/>
  </w:num>
  <w:num w:numId="21">
    <w:abstractNumId w:val="1"/>
  </w:num>
  <w:num w:numId="22">
    <w:abstractNumId w:val="4"/>
  </w:num>
  <w:num w:numId="23">
    <w:abstractNumId w:val="21"/>
  </w:num>
  <w:num w:numId="24">
    <w:abstractNumId w:val="20"/>
  </w:num>
  <w:num w:numId="25">
    <w:abstractNumId w:val="37"/>
  </w:num>
  <w:num w:numId="26">
    <w:abstractNumId w:val="35"/>
  </w:num>
  <w:num w:numId="27">
    <w:abstractNumId w:val="16"/>
  </w:num>
  <w:num w:numId="28">
    <w:abstractNumId w:val="36"/>
  </w:num>
  <w:num w:numId="29">
    <w:abstractNumId w:val="25"/>
  </w:num>
  <w:num w:numId="30">
    <w:abstractNumId w:val="29"/>
  </w:num>
  <w:num w:numId="31">
    <w:abstractNumId w:val="6"/>
  </w:num>
  <w:num w:numId="32">
    <w:abstractNumId w:val="32"/>
  </w:num>
  <w:num w:numId="33">
    <w:abstractNumId w:val="12"/>
  </w:num>
  <w:num w:numId="34">
    <w:abstractNumId w:val="22"/>
  </w:num>
  <w:num w:numId="35">
    <w:abstractNumId w:val="26"/>
  </w:num>
  <w:num w:numId="36">
    <w:abstractNumId w:val="10"/>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18"/>
    <w:rsid w:val="00017E5B"/>
    <w:rsid w:val="000320C5"/>
    <w:rsid w:val="00057F89"/>
    <w:rsid w:val="00065E89"/>
    <w:rsid w:val="000A0C8B"/>
    <w:rsid w:val="000A2339"/>
    <w:rsid w:val="000F3433"/>
    <w:rsid w:val="00153614"/>
    <w:rsid w:val="00183329"/>
    <w:rsid w:val="0019512F"/>
    <w:rsid w:val="001A69B0"/>
    <w:rsid w:val="001B52BE"/>
    <w:rsid w:val="001B6478"/>
    <w:rsid w:val="001C6226"/>
    <w:rsid w:val="001C62B6"/>
    <w:rsid w:val="002012E8"/>
    <w:rsid w:val="00212839"/>
    <w:rsid w:val="00216E98"/>
    <w:rsid w:val="00227AF7"/>
    <w:rsid w:val="00236BDA"/>
    <w:rsid w:val="00250E98"/>
    <w:rsid w:val="0026014A"/>
    <w:rsid w:val="0026778B"/>
    <w:rsid w:val="00277E18"/>
    <w:rsid w:val="002C7DAA"/>
    <w:rsid w:val="002F2CA4"/>
    <w:rsid w:val="002F7A3B"/>
    <w:rsid w:val="003016EC"/>
    <w:rsid w:val="00322803"/>
    <w:rsid w:val="0036238C"/>
    <w:rsid w:val="00370F12"/>
    <w:rsid w:val="00372475"/>
    <w:rsid w:val="00382238"/>
    <w:rsid w:val="003861AD"/>
    <w:rsid w:val="00397058"/>
    <w:rsid w:val="003A41EC"/>
    <w:rsid w:val="003B0F77"/>
    <w:rsid w:val="003B2FF8"/>
    <w:rsid w:val="003C698F"/>
    <w:rsid w:val="003F0DEC"/>
    <w:rsid w:val="003F115E"/>
    <w:rsid w:val="003F7FF2"/>
    <w:rsid w:val="00401B30"/>
    <w:rsid w:val="004231AC"/>
    <w:rsid w:val="00455B09"/>
    <w:rsid w:val="00473430"/>
    <w:rsid w:val="004867C5"/>
    <w:rsid w:val="00486EE5"/>
    <w:rsid w:val="004A3253"/>
    <w:rsid w:val="004D4C73"/>
    <w:rsid w:val="00546872"/>
    <w:rsid w:val="005513EF"/>
    <w:rsid w:val="00592822"/>
    <w:rsid w:val="005A068A"/>
    <w:rsid w:val="005A5688"/>
    <w:rsid w:val="005B4958"/>
    <w:rsid w:val="005B7D8B"/>
    <w:rsid w:val="005E04BD"/>
    <w:rsid w:val="005F1807"/>
    <w:rsid w:val="005F4234"/>
    <w:rsid w:val="006411D4"/>
    <w:rsid w:val="00643843"/>
    <w:rsid w:val="00661704"/>
    <w:rsid w:val="006629B6"/>
    <w:rsid w:val="00674CB5"/>
    <w:rsid w:val="006A4AAD"/>
    <w:rsid w:val="00707ECD"/>
    <w:rsid w:val="00717F9D"/>
    <w:rsid w:val="0073794C"/>
    <w:rsid w:val="007528A3"/>
    <w:rsid w:val="0078630F"/>
    <w:rsid w:val="007A3F18"/>
    <w:rsid w:val="007D56D8"/>
    <w:rsid w:val="007F4323"/>
    <w:rsid w:val="007F6FDC"/>
    <w:rsid w:val="007F744C"/>
    <w:rsid w:val="00800374"/>
    <w:rsid w:val="0085791F"/>
    <w:rsid w:val="008A7AED"/>
    <w:rsid w:val="008E43E6"/>
    <w:rsid w:val="008F6F18"/>
    <w:rsid w:val="00904E22"/>
    <w:rsid w:val="00913AF8"/>
    <w:rsid w:val="00913C61"/>
    <w:rsid w:val="00935348"/>
    <w:rsid w:val="00951D30"/>
    <w:rsid w:val="00976B08"/>
    <w:rsid w:val="00985A16"/>
    <w:rsid w:val="00987661"/>
    <w:rsid w:val="009A5419"/>
    <w:rsid w:val="009B080D"/>
    <w:rsid w:val="009B57D5"/>
    <w:rsid w:val="009E43EF"/>
    <w:rsid w:val="00A05BA7"/>
    <w:rsid w:val="00A27D10"/>
    <w:rsid w:val="00A559DB"/>
    <w:rsid w:val="00AA7AC4"/>
    <w:rsid w:val="00AB4BA4"/>
    <w:rsid w:val="00AF7544"/>
    <w:rsid w:val="00B27EC3"/>
    <w:rsid w:val="00B35E13"/>
    <w:rsid w:val="00B443E5"/>
    <w:rsid w:val="00B84D54"/>
    <w:rsid w:val="00BA7605"/>
    <w:rsid w:val="00BB562E"/>
    <w:rsid w:val="00BC6F8C"/>
    <w:rsid w:val="00BD69DD"/>
    <w:rsid w:val="00C0249D"/>
    <w:rsid w:val="00C46117"/>
    <w:rsid w:val="00C47743"/>
    <w:rsid w:val="00C61BAA"/>
    <w:rsid w:val="00C61D7E"/>
    <w:rsid w:val="00D2507C"/>
    <w:rsid w:val="00D25BC9"/>
    <w:rsid w:val="00D327EA"/>
    <w:rsid w:val="00D32EE8"/>
    <w:rsid w:val="00D34DBA"/>
    <w:rsid w:val="00D564FD"/>
    <w:rsid w:val="00D768A1"/>
    <w:rsid w:val="00D9673C"/>
    <w:rsid w:val="00E73416"/>
    <w:rsid w:val="00EC2549"/>
    <w:rsid w:val="00EE2BE8"/>
    <w:rsid w:val="00EF0591"/>
    <w:rsid w:val="00F042D7"/>
    <w:rsid w:val="00F0664A"/>
    <w:rsid w:val="00F300C0"/>
    <w:rsid w:val="00F3736C"/>
    <w:rsid w:val="00F50AE4"/>
    <w:rsid w:val="00F746D1"/>
    <w:rsid w:val="00F8035C"/>
    <w:rsid w:val="00FA1870"/>
    <w:rsid w:val="00FA2CF0"/>
    <w:rsid w:val="00FA7678"/>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B554163-6E1A-4FE1-92EC-0007CC16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2E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F74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443E5"/>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customStyle="1" w:styleId="berschrift1Zchn">
    <w:name w:val="Überschrift 1 Zchn"/>
    <w:basedOn w:val="Absatz-Standardschriftart"/>
    <w:link w:val="berschrift1"/>
    <w:uiPriority w:val="9"/>
    <w:rsid w:val="00D32EE8"/>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F744C"/>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2012E8"/>
    <w:pPr>
      <w:spacing w:before="100" w:beforeAutospacing="1" w:after="100" w:afterAutospacing="1"/>
    </w:pPr>
    <w:rPr>
      <w:rFonts w:ascii="Times New Roman" w:hAnsi="Times New Roman" w:cs="Times New Roman"/>
    </w:rPr>
  </w:style>
  <w:style w:type="character" w:customStyle="1" w:styleId="berschrift3Zchn">
    <w:name w:val="Überschrift 3 Zchn"/>
    <w:basedOn w:val="Absatz-Standardschriftart"/>
    <w:link w:val="berschrift3"/>
    <w:rsid w:val="00B443E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90330845">
      <w:bodyDiv w:val="1"/>
      <w:marLeft w:val="0"/>
      <w:marRight w:val="0"/>
      <w:marTop w:val="0"/>
      <w:marBottom w:val="0"/>
      <w:divBdr>
        <w:top w:val="none" w:sz="0" w:space="0" w:color="auto"/>
        <w:left w:val="none" w:sz="0" w:space="0" w:color="auto"/>
        <w:bottom w:val="none" w:sz="0" w:space="0" w:color="auto"/>
        <w:right w:val="none" w:sz="0" w:space="0" w:color="auto"/>
      </w:divBdr>
    </w:div>
    <w:div w:id="1640380116">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reativecommons.org/licenses/by-sa/4.0/legal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E40D-FE36-AF4D-9386-132768AB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2019-04-22T12:30:00Z</cp:lastPrinted>
  <dcterms:created xsi:type="dcterms:W3CDTF">2019-04-22T12:30:00Z</dcterms:created>
  <dcterms:modified xsi:type="dcterms:W3CDTF">2019-04-22T12:59:00Z</dcterms:modified>
</cp:coreProperties>
</file>