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9151" w14:textId="77777777" w:rsidR="0026778B" w:rsidRPr="002012E8" w:rsidRDefault="0026778B" w:rsidP="0026778B">
      <w:pPr>
        <w:pStyle w:val="berschrift2"/>
        <w:rPr>
          <w:rFonts w:ascii="Cambria" w:hAnsi="Cambria"/>
          <w:sz w:val="24"/>
        </w:rPr>
      </w:pPr>
      <w:r>
        <w:rPr>
          <w:rFonts w:ascii="Cambria" w:hAnsi="Cambria"/>
          <w:sz w:val="24"/>
        </w:rPr>
        <w:t>Formen der indirekten Rede- und Textwiedergabe</w:t>
      </w:r>
    </w:p>
    <w:p w14:paraId="7E470B24" w14:textId="3527B523" w:rsidR="00017E5B" w:rsidRPr="003C698F" w:rsidRDefault="00250E98" w:rsidP="0026778B">
      <w:pPr>
        <w:pStyle w:val="berschrift2"/>
        <w:rPr>
          <w:sz w:val="12"/>
        </w:rPr>
      </w:pPr>
      <w:r>
        <w:rPr>
          <w:rFonts w:asciiTheme="minorHAnsi" w:hAnsiTheme="minorHAnsi"/>
          <w:sz w:val="32"/>
        </w:rPr>
        <w:t>Hauptsatz-Infinitiv-Konstruktion</w:t>
      </w:r>
    </w:p>
    <w:p w14:paraId="06836509" w14:textId="77777777" w:rsidR="00017E5B" w:rsidRPr="003C698F" w:rsidRDefault="00017E5B" w:rsidP="00017E5B">
      <w:pPr>
        <w:ind w:firstLine="709"/>
        <w:rPr>
          <w:sz w:val="18"/>
          <w:szCs w:val="22"/>
        </w:rPr>
        <w:sectPr w:rsidR="00017E5B" w:rsidRPr="003C698F" w:rsidSect="00017E5B">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53948AB8" w14:textId="77777777" w:rsidR="00C46117" w:rsidRPr="00E75C79" w:rsidRDefault="00C46117" w:rsidP="00C46117">
      <w:pPr>
        <w:spacing w:after="240"/>
        <w:jc w:val="both"/>
      </w:pPr>
      <w:r w:rsidRPr="00E75C79">
        <w:lastRenderedPageBreak/>
        <w:t>Die Einbettung der Primäräußerung als Infinitivsatz im Rahmen einer Hauptsatz-Infinitiv-Konstruktion kommt häufiger bei schriftlichen als mündlichen Formen der indirekten Wi</w:t>
      </w:r>
      <w:r w:rsidRPr="00E75C79">
        <w:t>e</w:t>
      </w:r>
      <w:r w:rsidRPr="00E75C79">
        <w:t>dergabe vor. In der Schule findet man sie z. B. bei der strukturierten Textwiedergabe, aber auch bei den journalistischen Darste</w:t>
      </w:r>
      <w:r w:rsidRPr="00E75C79">
        <w:t>l</w:t>
      </w:r>
      <w:r w:rsidRPr="00E75C79">
        <w:t>lungsformen ist sie weit verbreitet. Aber gerade dort zeigen sich auch die Grenzen, Möglichkeiten und Risiken. Mit der entsprechenden Redeeinleitung ist nämlich schnell die Neutralität dahin und der Text bei der Wiedergabe entstellt.</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firstRow="0" w:lastRow="0" w:firstColumn="0" w:lastColumn="0" w:noHBand="0" w:noVBand="0"/>
      </w:tblPr>
      <w:tblGrid>
        <w:gridCol w:w="4524"/>
        <w:gridCol w:w="4524"/>
      </w:tblGrid>
      <w:tr w:rsidR="00C46117" w:rsidRPr="00E75C79" w14:paraId="3AA83275" w14:textId="77777777" w:rsidTr="00D00705">
        <w:trPr>
          <w:trHeight w:val="675"/>
        </w:trPr>
        <w:tc>
          <w:tcPr>
            <w:tcW w:w="5000" w:type="pct"/>
            <w:gridSpan w:val="2"/>
            <w:tcBorders>
              <w:top w:val="outset" w:sz="6" w:space="0" w:color="808080"/>
              <w:left w:val="outset" w:sz="6" w:space="0" w:color="808080"/>
              <w:bottom w:val="outset" w:sz="6" w:space="0" w:color="808080"/>
              <w:right w:val="outset" w:sz="6" w:space="0" w:color="808080"/>
            </w:tcBorders>
            <w:shd w:val="clear" w:color="auto" w:fill="ECE9D8"/>
            <w:vAlign w:val="center"/>
          </w:tcPr>
          <w:p w14:paraId="049A9DE6" w14:textId="77777777" w:rsidR="00C46117" w:rsidRPr="00250E98" w:rsidRDefault="00C46117" w:rsidP="00D00705">
            <w:pPr>
              <w:spacing w:before="75" w:after="75"/>
              <w:ind w:left="75" w:right="75"/>
              <w:jc w:val="both"/>
              <w:rPr>
                <w:rFonts w:asciiTheme="majorHAnsi" w:hAnsiTheme="majorHAnsi" w:cs="Arial"/>
                <w:color w:val="000000"/>
                <w:sz w:val="18"/>
                <w:szCs w:val="18"/>
              </w:rPr>
            </w:pPr>
            <w:r w:rsidRPr="00250E98">
              <w:rPr>
                <w:rFonts w:asciiTheme="majorHAnsi" w:hAnsiTheme="majorHAnsi" w:cs="Arial"/>
                <w:color w:val="000000"/>
                <w:sz w:val="18"/>
                <w:szCs w:val="18"/>
              </w:rPr>
              <w:t>Frau Kern hat sich im Gespräch mit der Klassenlehrerin ihres Sohnes Kai Rat geholt (Bild links). Am nächsten Tag äußert sie sich gegenüber Kai. (Bild rechts)</w:t>
            </w:r>
          </w:p>
        </w:tc>
      </w:tr>
      <w:tr w:rsidR="00C46117" w:rsidRPr="00E75C79" w14:paraId="6171EB7F" w14:textId="77777777" w:rsidTr="00D00705">
        <w:tc>
          <w:tcPr>
            <w:tcW w:w="2500" w:type="pct"/>
            <w:tcBorders>
              <w:top w:val="outset" w:sz="6" w:space="0" w:color="808080"/>
              <w:left w:val="outset" w:sz="6" w:space="0" w:color="808080"/>
              <w:bottom w:val="outset" w:sz="6" w:space="0" w:color="808080"/>
              <w:right w:val="outset" w:sz="6" w:space="0" w:color="808080"/>
            </w:tcBorders>
            <w:vAlign w:val="center"/>
          </w:tcPr>
          <w:p w14:paraId="61A48B4B" w14:textId="62DF56E1" w:rsidR="00C46117" w:rsidRPr="00E75C79" w:rsidRDefault="00C46117" w:rsidP="00D00705">
            <w:pPr>
              <w:spacing w:before="100" w:beforeAutospacing="1" w:after="100" w:afterAutospacing="1"/>
              <w:jc w:val="center"/>
              <w:rPr>
                <w:rFonts w:ascii="Arial" w:hAnsi="Arial" w:cs="Arial"/>
                <w:color w:val="000000"/>
              </w:rPr>
            </w:pPr>
            <w:r w:rsidRPr="00E75C79">
              <w:rPr>
                <w:rFonts w:cs="Arial"/>
                <w:noProof/>
                <w:color w:val="000000"/>
              </w:rPr>
              <w:drawing>
                <wp:inline distT="0" distB="0" distL="0" distR="0" wp14:anchorId="38E9EE71" wp14:editId="528F69EC">
                  <wp:extent cx="2413635" cy="208407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5797"/>
                          <a:stretch>
                            <a:fillRect/>
                          </a:stretch>
                        </pic:blipFill>
                        <pic:spPr bwMode="auto">
                          <a:xfrm>
                            <a:off x="0" y="0"/>
                            <a:ext cx="2413635" cy="2084070"/>
                          </a:xfrm>
                          <a:prstGeom prst="rect">
                            <a:avLst/>
                          </a:prstGeom>
                          <a:noFill/>
                          <a:ln>
                            <a:noFill/>
                          </a:ln>
                        </pic:spPr>
                      </pic:pic>
                    </a:graphicData>
                  </a:graphic>
                </wp:inline>
              </w:drawing>
            </w:r>
          </w:p>
        </w:tc>
        <w:tc>
          <w:tcPr>
            <w:tcW w:w="2500" w:type="pct"/>
            <w:tcBorders>
              <w:top w:val="outset" w:sz="6" w:space="0" w:color="808080"/>
              <w:left w:val="outset" w:sz="6" w:space="0" w:color="808080"/>
              <w:bottom w:val="outset" w:sz="6" w:space="0" w:color="808080"/>
              <w:right w:val="outset" w:sz="6" w:space="0" w:color="808080"/>
            </w:tcBorders>
            <w:vAlign w:val="center"/>
          </w:tcPr>
          <w:p w14:paraId="00809F75" w14:textId="0E4F73B3" w:rsidR="00C46117" w:rsidRPr="00E75C79" w:rsidRDefault="00C46117" w:rsidP="00D00705">
            <w:pPr>
              <w:spacing w:before="100" w:beforeAutospacing="1" w:after="100" w:afterAutospacing="1"/>
              <w:jc w:val="center"/>
              <w:rPr>
                <w:rFonts w:ascii="Arial" w:hAnsi="Arial" w:cs="Arial"/>
                <w:color w:val="000000"/>
              </w:rPr>
            </w:pPr>
            <w:r w:rsidRPr="00E75C79">
              <w:rPr>
                <w:rFonts w:cs="Arial"/>
                <w:noProof/>
                <w:color w:val="000000"/>
              </w:rPr>
              <w:drawing>
                <wp:inline distT="0" distB="0" distL="0" distR="0" wp14:anchorId="016D2797" wp14:editId="394E5CEB">
                  <wp:extent cx="2413635" cy="21691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t="-6047"/>
                          <a:stretch>
                            <a:fillRect/>
                          </a:stretch>
                        </pic:blipFill>
                        <pic:spPr bwMode="auto">
                          <a:xfrm>
                            <a:off x="0" y="0"/>
                            <a:ext cx="2413635" cy="2169160"/>
                          </a:xfrm>
                          <a:prstGeom prst="rect">
                            <a:avLst/>
                          </a:prstGeom>
                          <a:noFill/>
                          <a:ln>
                            <a:noFill/>
                          </a:ln>
                        </pic:spPr>
                      </pic:pic>
                    </a:graphicData>
                  </a:graphic>
                </wp:inline>
              </w:drawing>
            </w:r>
          </w:p>
        </w:tc>
      </w:tr>
    </w:tbl>
    <w:p w14:paraId="78B8F183" w14:textId="77777777" w:rsidR="00250E98" w:rsidRDefault="00C46117" w:rsidP="00C46117">
      <w:pPr>
        <w:spacing w:before="240" w:after="240"/>
        <w:jc w:val="both"/>
      </w:pPr>
      <w:r>
        <w:t>Im hier vorliegenden Fall hält sich die Mutter bei ihrer indirekten Wiedergabe sogar noch sehr stark an den Wortlaut der Äußerung der Klassenlehrerin</w:t>
      </w:r>
      <w:r w:rsidR="00250E98">
        <w:t xml:space="preserve">. Eine Gewähr dafür hat man aber </w:t>
      </w:r>
      <w:r>
        <w:t xml:space="preserve">bei einer derartigen Form der indirekten Wiedergabe keineswegs. </w:t>
      </w:r>
    </w:p>
    <w:p w14:paraId="3E72AC24" w14:textId="2260721E" w:rsidR="00250E98" w:rsidRDefault="00C46117" w:rsidP="00C46117">
      <w:pPr>
        <w:spacing w:before="240" w:after="240"/>
        <w:jc w:val="both"/>
      </w:pPr>
      <w:r>
        <w:t xml:space="preserve">Sie könnte damit </w:t>
      </w:r>
      <w:r w:rsidR="00250E98">
        <w:t>g</w:t>
      </w:r>
      <w:r w:rsidR="00250E98">
        <w:t>e</w:t>
      </w:r>
      <w:r w:rsidR="00250E98">
        <w:t>nauso</w:t>
      </w:r>
      <w:r>
        <w:t xml:space="preserve"> gut - und zwar auch mit anderen Worten </w:t>
      </w:r>
      <w:r w:rsidR="00250E98">
        <w:t>–</w:t>
      </w:r>
      <w:r>
        <w:t xml:space="preserve"> </w:t>
      </w:r>
      <w:r w:rsidR="00250E98">
        <w:t xml:space="preserve">nur </w:t>
      </w:r>
      <w:r>
        <w:t>den Sinn der Äußerung bzw. die von ihr angenommenen Intentionen (Absichten</w:t>
      </w:r>
      <w:r w:rsidR="00250E98">
        <w:t xml:space="preserve">) des Sprechaktes der Lehrerin </w:t>
      </w:r>
      <w:r>
        <w:t>wiederg</w:t>
      </w:r>
      <w:r>
        <w:t>e</w:t>
      </w:r>
      <w:r>
        <w:t>ben.</w:t>
      </w:r>
    </w:p>
    <w:p w14:paraId="6A64567B" w14:textId="2C5CCBC9" w:rsidR="00C46117" w:rsidRDefault="00C46117" w:rsidP="00C46117">
      <w:pPr>
        <w:spacing w:before="240" w:after="240"/>
        <w:jc w:val="both"/>
      </w:pPr>
      <w:r>
        <w:t>Die Hauptsatz-Infinitiv-Konstruktion zur indirekten Wiedergabe kommt z. B. bei den fo</w:t>
      </w:r>
      <w:r>
        <w:t>l</w:t>
      </w:r>
      <w:r>
        <w:t xml:space="preserve">genden </w:t>
      </w:r>
      <w:r w:rsidRPr="00E75C79">
        <w:rPr>
          <w:b/>
          <w:bCs/>
        </w:rPr>
        <w:t>Sprechakten</w:t>
      </w:r>
      <w:r>
        <w:t xml:space="preserve"> besonders häufig vor.</w:t>
      </w:r>
    </w:p>
    <w:p w14:paraId="26568ED7" w14:textId="77777777" w:rsidR="00C46117" w:rsidRPr="00E75C79" w:rsidRDefault="00C46117" w:rsidP="00250E98">
      <w:pPr>
        <w:numPr>
          <w:ilvl w:val="0"/>
          <w:numId w:val="34"/>
        </w:numPr>
        <w:overflowPunct w:val="0"/>
        <w:autoSpaceDE w:val="0"/>
        <w:autoSpaceDN w:val="0"/>
        <w:adjustRightInd w:val="0"/>
        <w:spacing w:before="60"/>
        <w:ind w:left="714" w:hanging="357"/>
        <w:jc w:val="both"/>
        <w:textAlignment w:val="baseline"/>
      </w:pPr>
      <w:r w:rsidRPr="00E75C79">
        <w:rPr>
          <w:b/>
          <w:bCs/>
        </w:rPr>
        <w:t>Entschuldigung</w:t>
      </w:r>
      <w:r w:rsidRPr="00E75C79">
        <w:t>: Sie entschuldigte sich dafür, den Termin versäumt zu haben.</w:t>
      </w:r>
    </w:p>
    <w:p w14:paraId="61B2A5FF" w14:textId="77777777" w:rsidR="00C46117" w:rsidRPr="00E75C79" w:rsidRDefault="00C46117" w:rsidP="00250E98">
      <w:pPr>
        <w:numPr>
          <w:ilvl w:val="0"/>
          <w:numId w:val="34"/>
        </w:numPr>
        <w:overflowPunct w:val="0"/>
        <w:autoSpaceDE w:val="0"/>
        <w:autoSpaceDN w:val="0"/>
        <w:adjustRightInd w:val="0"/>
        <w:spacing w:before="60"/>
        <w:ind w:left="714" w:hanging="357"/>
        <w:jc w:val="both"/>
        <w:textAlignment w:val="baseline"/>
      </w:pPr>
      <w:r w:rsidRPr="00405C73">
        <w:rPr>
          <w:b/>
          <w:bCs/>
        </w:rPr>
        <w:t>Versprechen</w:t>
      </w:r>
      <w:r w:rsidRPr="00E75C79">
        <w:t>: Er verspricht, das nächste Mal besser aufzupassen.</w:t>
      </w:r>
    </w:p>
    <w:p w14:paraId="1D9703F3" w14:textId="77777777" w:rsidR="00C46117" w:rsidRPr="00E75C79" w:rsidRDefault="00C46117" w:rsidP="00250E98">
      <w:pPr>
        <w:numPr>
          <w:ilvl w:val="0"/>
          <w:numId w:val="34"/>
        </w:numPr>
        <w:overflowPunct w:val="0"/>
        <w:autoSpaceDE w:val="0"/>
        <w:autoSpaceDN w:val="0"/>
        <w:adjustRightInd w:val="0"/>
        <w:spacing w:before="60"/>
        <w:ind w:left="714" w:hanging="357"/>
        <w:jc w:val="both"/>
        <w:textAlignment w:val="baseline"/>
      </w:pPr>
      <w:r w:rsidRPr="00405C73">
        <w:rPr>
          <w:b/>
          <w:bCs/>
        </w:rPr>
        <w:t>Aufforderung</w:t>
      </w:r>
      <w:r w:rsidRPr="00E75C79">
        <w:t>: Sie forderte ihn, sich endlich um die Angelegenheit zu kümmern.</w:t>
      </w:r>
    </w:p>
    <w:p w14:paraId="457F52B9" w14:textId="77777777" w:rsidR="00C46117" w:rsidRPr="00E75C79" w:rsidRDefault="00C46117" w:rsidP="00250E98">
      <w:pPr>
        <w:numPr>
          <w:ilvl w:val="0"/>
          <w:numId w:val="34"/>
        </w:numPr>
        <w:overflowPunct w:val="0"/>
        <w:autoSpaceDE w:val="0"/>
        <w:autoSpaceDN w:val="0"/>
        <w:adjustRightInd w:val="0"/>
        <w:spacing w:before="60"/>
        <w:ind w:left="714" w:hanging="357"/>
        <w:jc w:val="both"/>
        <w:textAlignment w:val="baseline"/>
      </w:pPr>
      <w:r w:rsidRPr="00405C73">
        <w:rPr>
          <w:b/>
          <w:bCs/>
        </w:rPr>
        <w:t>Ratschlag</w:t>
      </w:r>
      <w:r w:rsidRPr="00E75C79">
        <w:t>: Er gab ihr den Rat, das Gerede der Kollegen zu ignorieren.</w:t>
      </w:r>
    </w:p>
    <w:p w14:paraId="40956E0E" w14:textId="77777777" w:rsidR="00C46117" w:rsidRPr="00E75C79" w:rsidRDefault="00C46117" w:rsidP="00250E98">
      <w:pPr>
        <w:numPr>
          <w:ilvl w:val="0"/>
          <w:numId w:val="34"/>
        </w:numPr>
        <w:overflowPunct w:val="0"/>
        <w:autoSpaceDE w:val="0"/>
        <w:autoSpaceDN w:val="0"/>
        <w:adjustRightInd w:val="0"/>
        <w:spacing w:before="60"/>
        <w:ind w:left="714" w:hanging="357"/>
        <w:jc w:val="both"/>
        <w:textAlignment w:val="baseline"/>
      </w:pPr>
      <w:r w:rsidRPr="00405C73">
        <w:rPr>
          <w:b/>
          <w:bCs/>
        </w:rPr>
        <w:t>Warnung</w:t>
      </w:r>
      <w:r w:rsidRPr="00E75C79">
        <w:t xml:space="preserve">: </w:t>
      </w:r>
      <w:bookmarkStart w:id="0" w:name="Sie_warnte_ihn_davor,_sich_mit_sexistisc"/>
      <w:r w:rsidRPr="00E75C79">
        <w:fldChar w:fldCharType="begin"/>
      </w:r>
      <w:r w:rsidRPr="00E75C79">
        <w:instrText xml:space="preserve"> HYPERLINK "file:///P:\\deutsch\\d_lingu\\synt\\redewie\\redewie_3_3_3_3_1.htm" \l "Beispiel#Beispiel" </w:instrText>
      </w:r>
      <w:r w:rsidRPr="00E75C79">
        <w:fldChar w:fldCharType="separate"/>
      </w:r>
      <w:r w:rsidRPr="00E75C79">
        <w:t>Sie warnte ihn davor, sich mit sexistischen Sprüchen bei seinen män</w:t>
      </w:r>
      <w:r w:rsidRPr="00E75C79">
        <w:t>n</w:t>
      </w:r>
      <w:r w:rsidRPr="00E75C79">
        <w:t>lichen Kollegen he</w:t>
      </w:r>
      <w:r w:rsidRPr="00E75C79">
        <w:t>r</w:t>
      </w:r>
      <w:r w:rsidRPr="00E75C79">
        <w:t>vorzutun.</w:t>
      </w:r>
      <w:r w:rsidRPr="00E75C79">
        <w:fldChar w:fldCharType="end"/>
      </w:r>
      <w:bookmarkEnd w:id="0"/>
    </w:p>
    <w:p w14:paraId="3FABE9AD" w14:textId="77777777" w:rsidR="00C46117" w:rsidRPr="00E75C79" w:rsidRDefault="00C46117" w:rsidP="00250E98">
      <w:pPr>
        <w:numPr>
          <w:ilvl w:val="0"/>
          <w:numId w:val="34"/>
        </w:numPr>
        <w:overflowPunct w:val="0"/>
        <w:autoSpaceDE w:val="0"/>
        <w:autoSpaceDN w:val="0"/>
        <w:adjustRightInd w:val="0"/>
        <w:spacing w:before="60"/>
        <w:ind w:left="714" w:hanging="357"/>
        <w:jc w:val="both"/>
        <w:textAlignment w:val="baseline"/>
      </w:pPr>
      <w:r w:rsidRPr="00405C73">
        <w:rPr>
          <w:b/>
          <w:bCs/>
        </w:rPr>
        <w:t>Drohung</w:t>
      </w:r>
      <w:r w:rsidRPr="00E75C79">
        <w:t>: Er drohte, die Sache vor Gericht zu bringen.</w:t>
      </w:r>
    </w:p>
    <w:p w14:paraId="41305C7A" w14:textId="77777777" w:rsidR="00C46117" w:rsidRPr="00E75C79" w:rsidRDefault="00C46117" w:rsidP="00250E98">
      <w:pPr>
        <w:numPr>
          <w:ilvl w:val="0"/>
          <w:numId w:val="34"/>
        </w:numPr>
        <w:overflowPunct w:val="0"/>
        <w:autoSpaceDE w:val="0"/>
        <w:autoSpaceDN w:val="0"/>
        <w:adjustRightInd w:val="0"/>
        <w:spacing w:before="60"/>
        <w:ind w:left="714" w:hanging="357"/>
        <w:jc w:val="both"/>
        <w:textAlignment w:val="baseline"/>
      </w:pPr>
      <w:r w:rsidRPr="00E75C79">
        <w:t xml:space="preserve">Vorschlag: Sie schlug vor, das nächste Mal mit der Bahn zu fahren. </w:t>
      </w:r>
      <w:bookmarkStart w:id="1" w:name="Probleme_und_Grenzen"/>
      <w:bookmarkEnd w:id="1"/>
    </w:p>
    <w:p w14:paraId="77588ADC" w14:textId="77777777" w:rsidR="00C46117" w:rsidRPr="00250E98" w:rsidRDefault="00C46117" w:rsidP="00C46117">
      <w:pPr>
        <w:pStyle w:val="berschrift3"/>
        <w:jc w:val="both"/>
        <w:rPr>
          <w:rFonts w:asciiTheme="minorHAnsi" w:hAnsiTheme="minorHAnsi"/>
        </w:rPr>
      </w:pPr>
      <w:r w:rsidRPr="00250E98">
        <w:rPr>
          <w:rFonts w:asciiTheme="minorHAnsi" w:hAnsiTheme="minorHAnsi"/>
        </w:rPr>
        <w:lastRenderedPageBreak/>
        <w:t>Probleme und Grenzen</w:t>
      </w:r>
    </w:p>
    <w:p w14:paraId="5EFCAD57" w14:textId="5F5AF1CE" w:rsidR="00250E98" w:rsidRDefault="00250E98" w:rsidP="00C46117">
      <w:pPr>
        <w:spacing w:before="240" w:after="240"/>
        <w:jc w:val="both"/>
      </w:pPr>
      <w:r>
        <w:t xml:space="preserve">Die </w:t>
      </w:r>
      <w:r w:rsidR="00C46117" w:rsidRPr="00405C73">
        <w:t xml:space="preserve">Signale (Wiedergabeindizes) </w:t>
      </w:r>
      <w:r>
        <w:t xml:space="preserve">dieser Form der indirekten Redewiedergabe reichen allerdings </w:t>
      </w:r>
      <w:r w:rsidR="00C46117" w:rsidRPr="00405C73">
        <w:t>kaum aus, denn sie können zum Teil auch nur auf einen Sachverhalt oder ein Verhalten verweisen</w:t>
      </w:r>
      <w:r>
        <w:t>.</w:t>
      </w:r>
      <w:r w:rsidR="00C46117" w:rsidRPr="00405C73">
        <w:t xml:space="preserve"> </w:t>
      </w:r>
      <w:r>
        <w:t xml:space="preserve"> Dann </w:t>
      </w:r>
      <w:r w:rsidR="00C46117" w:rsidRPr="00405C73">
        <w:t xml:space="preserve">stellen </w:t>
      </w:r>
      <w:r>
        <w:t xml:space="preserve">sie </w:t>
      </w:r>
      <w:r w:rsidR="00C46117" w:rsidRPr="00405C73">
        <w:t>natürlich nicht notwendigerweise auch tatsächlich gesagte oder geschriebene Primärä</w:t>
      </w:r>
      <w:r w:rsidR="00C46117" w:rsidRPr="00405C73">
        <w:t>u</w:t>
      </w:r>
      <w:r w:rsidR="00C46117" w:rsidRPr="00405C73">
        <w:t xml:space="preserve">ßerungen dar. </w:t>
      </w:r>
    </w:p>
    <w:p w14:paraId="4C2DA72B" w14:textId="77777777" w:rsidR="00250E98" w:rsidRDefault="00C46117" w:rsidP="00C46117">
      <w:pPr>
        <w:spacing w:before="240" w:after="240"/>
        <w:jc w:val="both"/>
      </w:pPr>
      <w:r w:rsidRPr="00405C73">
        <w:t xml:space="preserve">Aus diesem Grund kann es auch leicht zu </w:t>
      </w:r>
      <w:bookmarkStart w:id="2" w:name="Entstellungen"/>
      <w:r w:rsidRPr="00405C73">
        <w:rPr>
          <w:b/>
          <w:bCs/>
        </w:rPr>
        <w:t>Entstellungen</w:t>
      </w:r>
      <w:bookmarkEnd w:id="2"/>
      <w:r w:rsidRPr="00405C73">
        <w:t xml:space="preserve"> kommen, wenn der jeweilige Sprechakt, anders als vom Sprecher gemeint, bezeichnet wird. </w:t>
      </w:r>
    </w:p>
    <w:p w14:paraId="1AD41242" w14:textId="0E730899" w:rsidR="00C46117" w:rsidRDefault="00C46117" w:rsidP="00C46117">
      <w:pPr>
        <w:spacing w:before="240" w:after="240"/>
        <w:jc w:val="both"/>
        <w:rPr>
          <w:b/>
          <w:bCs/>
        </w:rPr>
      </w:pPr>
      <w:r w:rsidRPr="00405C73">
        <w:t>Wie schnell kann aus e</w:t>
      </w:r>
      <w:r w:rsidRPr="00405C73">
        <w:t>i</w:t>
      </w:r>
      <w:r w:rsidRPr="00405C73">
        <w:t xml:space="preserve">nem Wunsch z.B. ein Befehl werden, wenn er so beim Hörer "ankommt"! </w:t>
      </w:r>
      <w:r w:rsidRPr="00405C73">
        <w:rPr>
          <w:b/>
          <w:bCs/>
        </w:rPr>
        <w:t>Mit der B</w:t>
      </w:r>
      <w:r w:rsidRPr="00405C73">
        <w:rPr>
          <w:b/>
          <w:bCs/>
        </w:rPr>
        <w:t>e</w:t>
      </w:r>
      <w:r w:rsidRPr="00405C73">
        <w:rPr>
          <w:b/>
          <w:bCs/>
        </w:rPr>
        <w:t>zeichnung des Sprechaktes kann derj</w:t>
      </w:r>
      <w:r w:rsidRPr="00405C73">
        <w:rPr>
          <w:b/>
          <w:bCs/>
        </w:rPr>
        <w:t>e</w:t>
      </w:r>
      <w:r w:rsidRPr="00405C73">
        <w:rPr>
          <w:b/>
          <w:bCs/>
        </w:rPr>
        <w:t>nige, der eine Äußerung wiedergibt, diese ganz eindeutig kommentieren bzw. interpretieren.</w:t>
      </w:r>
    </w:p>
    <w:p w14:paraId="54CD3D06" w14:textId="77777777" w:rsidR="00C46117" w:rsidRPr="00405C73" w:rsidRDefault="00C46117" w:rsidP="00C46117">
      <w:pPr>
        <w:spacing w:before="240" w:after="240"/>
        <w:jc w:val="both"/>
      </w:pPr>
      <w:r w:rsidRPr="00405C73">
        <w:t xml:space="preserve">Nur wenn der </w:t>
      </w:r>
      <w:r w:rsidRPr="007E281A">
        <w:rPr>
          <w:b/>
          <w:bCs/>
        </w:rPr>
        <w:t>Sprechakt</w:t>
      </w:r>
      <w:r w:rsidRPr="00405C73">
        <w:t xml:space="preserve"> selbst vom Sprecher der Primäräußerung </w:t>
      </w:r>
      <w:r w:rsidRPr="007E281A">
        <w:rPr>
          <w:b/>
          <w:bCs/>
        </w:rPr>
        <w:t>selbst explizit au</w:t>
      </w:r>
      <w:r w:rsidRPr="007E281A">
        <w:rPr>
          <w:b/>
          <w:bCs/>
        </w:rPr>
        <w:t>s</w:t>
      </w:r>
      <w:r w:rsidRPr="007E281A">
        <w:rPr>
          <w:b/>
          <w:bCs/>
        </w:rPr>
        <w:t>gesprochen</w:t>
      </w:r>
      <w:r w:rsidRPr="00405C73">
        <w:t xml:space="preserve"> wird, kann man bis zu einem gewissen Grad von einer mehr oder weniger korrekten indirekten Wi</w:t>
      </w:r>
      <w:r w:rsidRPr="00405C73">
        <w:t>e</w:t>
      </w:r>
      <w:r w:rsidRPr="00405C73">
        <w:t xml:space="preserve">dergabe ausgehen. Dies ist bei performativen Äußerungen wie dem des Versprechens der Fall oder wenn der Sprecher dies selbst explizit äußert. </w:t>
      </w:r>
      <w:bookmarkStart w:id="3" w:name="Beispiel"/>
      <w:bookmarkEnd w:id="3"/>
    </w:p>
    <w:p w14:paraId="60AB0138" w14:textId="77777777" w:rsidR="00C46117" w:rsidRDefault="00C46117" w:rsidP="00C46117">
      <w:pPr>
        <w:spacing w:before="240" w:after="240"/>
        <w:jc w:val="both"/>
      </w:pPr>
      <w:r w:rsidRPr="00405C73">
        <w:rPr>
          <w:b/>
          <w:bCs/>
        </w:rPr>
        <w:t>Beispiel</w:t>
      </w:r>
      <w:r>
        <w:rPr>
          <w:b/>
          <w:bCs/>
        </w:rPr>
        <w:t>e</w:t>
      </w:r>
      <w:r w:rsidRPr="00405C73">
        <w:rPr>
          <w:b/>
          <w:bCs/>
        </w:rPr>
        <w:t>:</w:t>
      </w:r>
    </w:p>
    <w:p w14:paraId="1B5AACB8" w14:textId="77777777" w:rsidR="00C46117" w:rsidRDefault="00C46117" w:rsidP="00C46117">
      <w:pPr>
        <w:numPr>
          <w:ilvl w:val="0"/>
          <w:numId w:val="35"/>
        </w:numPr>
        <w:overflowPunct w:val="0"/>
        <w:autoSpaceDE w:val="0"/>
        <w:autoSpaceDN w:val="0"/>
        <w:adjustRightInd w:val="0"/>
        <w:ind w:left="714" w:hanging="357"/>
        <w:jc w:val="both"/>
        <w:textAlignment w:val="baseline"/>
      </w:pPr>
      <w:r w:rsidRPr="00405C73">
        <w:t>"</w:t>
      </w:r>
      <w:r w:rsidRPr="00250E98">
        <w:rPr>
          <w:b/>
        </w:rPr>
        <w:t>Ich warne Sie!</w:t>
      </w:r>
      <w:r w:rsidRPr="00405C73">
        <w:t xml:space="preserve"> Tun Sie sich nicht mit sexistischen Sprüchen bei Ihren männlichen Koll</w:t>
      </w:r>
      <w:r w:rsidRPr="00405C73">
        <w:t>e</w:t>
      </w:r>
      <w:r w:rsidRPr="00405C73">
        <w:t xml:space="preserve">gen hervor!" </w:t>
      </w:r>
    </w:p>
    <w:p w14:paraId="00A0CD7D" w14:textId="77777777" w:rsidR="00C46117" w:rsidRPr="00405C73" w:rsidRDefault="00C46117" w:rsidP="00C46117">
      <w:pPr>
        <w:numPr>
          <w:ilvl w:val="0"/>
          <w:numId w:val="35"/>
        </w:numPr>
        <w:overflowPunct w:val="0"/>
        <w:autoSpaceDE w:val="0"/>
        <w:autoSpaceDN w:val="0"/>
        <w:adjustRightInd w:val="0"/>
        <w:ind w:left="714" w:hanging="357"/>
        <w:jc w:val="both"/>
        <w:textAlignment w:val="baseline"/>
      </w:pPr>
      <w:r>
        <w:t>„</w:t>
      </w:r>
      <w:r w:rsidRPr="00250E98">
        <w:rPr>
          <w:b/>
        </w:rPr>
        <w:t>Wir versprechen Ihnen</w:t>
      </w:r>
      <w:r>
        <w:t>, dass die unerfreuliche Angelegenheit zu Ihrer Zufriede</w:t>
      </w:r>
      <w:r>
        <w:t>n</w:t>
      </w:r>
      <w:r>
        <w:t>heit e</w:t>
      </w:r>
      <w:r>
        <w:t>r</w:t>
      </w:r>
      <w:r>
        <w:t>ledigt wird.“</w:t>
      </w:r>
    </w:p>
    <w:p w14:paraId="33F7E231" w14:textId="77777777" w:rsidR="00C46117" w:rsidRPr="00405C73" w:rsidRDefault="00C46117" w:rsidP="00C46117">
      <w:pPr>
        <w:spacing w:before="240" w:after="240"/>
        <w:jc w:val="both"/>
      </w:pPr>
      <w:r w:rsidRPr="00405C73">
        <w:t>Die Primäräußerung, die dem oben unter Warnung formulierten Beispiel zugrunde liegt, hätte die Sprecherin allerdings</w:t>
      </w:r>
      <w:r>
        <w:t xml:space="preserve"> auch anders realisieren können</w:t>
      </w:r>
      <w:r w:rsidRPr="00405C73">
        <w:t xml:space="preserve">, z. B.: </w:t>
      </w:r>
    </w:p>
    <w:p w14:paraId="47AD4AF7" w14:textId="77777777" w:rsidR="00C46117" w:rsidRPr="00405C73" w:rsidRDefault="00C46117" w:rsidP="00C46117">
      <w:pPr>
        <w:numPr>
          <w:ilvl w:val="0"/>
          <w:numId w:val="36"/>
        </w:numPr>
        <w:overflowPunct w:val="0"/>
        <w:autoSpaceDE w:val="0"/>
        <w:autoSpaceDN w:val="0"/>
        <w:adjustRightInd w:val="0"/>
        <w:spacing w:before="240" w:after="240"/>
        <w:jc w:val="both"/>
        <w:textAlignment w:val="baseline"/>
      </w:pPr>
      <w:r w:rsidRPr="00405C73">
        <w:t>"Fangen Sie bloß nicht mit sexistischen Sprüchen an, um bei ihren männlichen Kollegen Eindruck zu schinden!"</w:t>
      </w:r>
    </w:p>
    <w:p w14:paraId="6E1D7F3D" w14:textId="77777777" w:rsidR="00250E98" w:rsidRDefault="00C46117" w:rsidP="00C46117">
      <w:pPr>
        <w:spacing w:before="240" w:after="240"/>
        <w:jc w:val="both"/>
      </w:pPr>
      <w:r w:rsidRPr="00405C73">
        <w:t xml:space="preserve">Im Gegensatz zu </w:t>
      </w:r>
      <w:hyperlink r:id="rId14" w:history="1">
        <w:r w:rsidRPr="00405C73">
          <w:t>konjunktivischen</w:t>
        </w:r>
      </w:hyperlink>
      <w:r w:rsidRPr="00405C73">
        <w:t xml:space="preserve"> Formen der indirekten Wiedergabe steht derjenige, der die Äuß</w:t>
      </w:r>
      <w:r w:rsidRPr="00405C73">
        <w:t>e</w:t>
      </w:r>
      <w:r w:rsidRPr="00405C73">
        <w:t xml:space="preserve">rung in einer Hauptsatz-Infinitiv-Konstruktion wiedergibt, damit im Prinzip </w:t>
      </w:r>
      <w:r w:rsidRPr="007E281A">
        <w:rPr>
          <w:b/>
          <w:bCs/>
        </w:rPr>
        <w:t>nicht dafür ein, dass dies auch tatsächlich so gesagt</w:t>
      </w:r>
      <w:r w:rsidRPr="00405C73">
        <w:t xml:space="preserve"> worden ist. </w:t>
      </w:r>
    </w:p>
    <w:p w14:paraId="5E21D0EA" w14:textId="7CA7470F" w:rsidR="00C46117" w:rsidRDefault="00C46117" w:rsidP="00C46117">
      <w:pPr>
        <w:spacing w:before="240" w:after="240"/>
        <w:jc w:val="both"/>
      </w:pPr>
      <w:bookmarkStart w:id="4" w:name="_GoBack"/>
      <w:bookmarkEnd w:id="4"/>
      <w:r w:rsidRPr="00405C73">
        <w:t>Dies gilt in gewi</w:t>
      </w:r>
      <w:r w:rsidRPr="00405C73">
        <w:t>s</w:t>
      </w:r>
      <w:r w:rsidRPr="00405C73">
        <w:t>ser Hi</w:t>
      </w:r>
      <w:r w:rsidRPr="00405C73">
        <w:t>n</w:t>
      </w:r>
      <w:r w:rsidRPr="00405C73">
        <w:t>sicht aber für alle nichtkonjunktivischen Formen der Textwiedergabe, deren Nähe zum Wortlaut der wiedergegebenen Primäräußerung in ähnlicher Weise gestaltet werden kann</w:t>
      </w:r>
      <w:r>
        <w:t xml:space="preserve">. </w:t>
      </w:r>
    </w:p>
    <w:p w14:paraId="30F1E91C" w14:textId="77777777" w:rsidR="007F4323" w:rsidRDefault="007F4323"/>
    <w:sectPr w:rsidR="007F4323" w:rsidSect="00B27EC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11B13" w14:textId="77777777" w:rsidR="002B5429" w:rsidRDefault="002B5429" w:rsidP="003016EC">
      <w:r>
        <w:separator/>
      </w:r>
    </w:p>
  </w:endnote>
  <w:endnote w:type="continuationSeparator" w:id="0">
    <w:p w14:paraId="3E986E7B" w14:textId="77777777" w:rsidR="002B5429" w:rsidRDefault="002B5429"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2AEF" w:usb1="D000A1FF" w:usb2="00000038" w:usb3="00000000" w:csb0="000001BF" w:csb1="00000000"/>
  </w:font>
  <w:font w:name="PMingLiU">
    <w:panose1 w:val="02020500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7C68" w14:textId="77777777" w:rsidR="00017E5B" w:rsidRPr="001B52BE" w:rsidRDefault="00017E5B"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6432" behindDoc="0" locked="0" layoutInCell="1" allowOverlap="1" wp14:anchorId="207D56CA" wp14:editId="03774001">
          <wp:simplePos x="0" y="0"/>
          <wp:positionH relativeFrom="column">
            <wp:posOffset>5016500</wp:posOffset>
          </wp:positionH>
          <wp:positionV relativeFrom="paragraph">
            <wp:posOffset>192405</wp:posOffset>
          </wp:positionV>
          <wp:extent cx="571500" cy="215900"/>
          <wp:effectExtent l="0" t="0" r="0" b="0"/>
          <wp:wrapSquare wrapText="bothSides"/>
          <wp:docPr id="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Pr="00382238">
        <w:rPr>
          <w:rStyle w:val="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under a Creative Commons license BY-ND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AF82" w14:textId="77777777" w:rsidR="00017E5B" w:rsidRPr="0026014A" w:rsidRDefault="00017E5B"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5408" behindDoc="0" locked="0" layoutInCell="1" allowOverlap="1" wp14:anchorId="10DF17D2" wp14:editId="59A18245">
          <wp:simplePos x="0" y="0"/>
          <wp:positionH relativeFrom="column">
            <wp:posOffset>5016500</wp:posOffset>
          </wp:positionH>
          <wp:positionV relativeFrom="paragraph">
            <wp:posOffset>192405</wp:posOffset>
          </wp:positionV>
          <wp:extent cx="571500" cy="215900"/>
          <wp:effectExtent l="0" t="0" r="0" b="0"/>
          <wp:wrapSquare wrapText="bothSides"/>
          <wp:docPr id="7"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Pr="00382238">
        <w:rPr>
          <w:rStyle w:val="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B0A67" w14:textId="77777777" w:rsidR="002B5429" w:rsidRDefault="002B5429" w:rsidP="003016EC">
      <w:r>
        <w:separator/>
      </w:r>
    </w:p>
  </w:footnote>
  <w:footnote w:type="continuationSeparator" w:id="0">
    <w:p w14:paraId="7DE7C5E7" w14:textId="77777777" w:rsidR="002B5429" w:rsidRDefault="002B5429" w:rsidP="00301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742E" w14:textId="77777777" w:rsidR="00017E5B" w:rsidRPr="003B0F77" w:rsidRDefault="00017E5B"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64384" behindDoc="0" locked="0" layoutInCell="1" allowOverlap="1" wp14:anchorId="710F9010" wp14:editId="7D16A1DB">
          <wp:simplePos x="0" y="0"/>
          <wp:positionH relativeFrom="column">
            <wp:posOffset>4797425</wp:posOffset>
          </wp:positionH>
          <wp:positionV relativeFrom="paragraph">
            <wp:posOffset>-169545</wp:posOffset>
          </wp:positionV>
          <wp:extent cx="897890" cy="59626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33AFFCED" w14:textId="77777777" w:rsidR="00017E5B" w:rsidRPr="001B6478" w:rsidRDefault="00017E5B" w:rsidP="001B64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FFF7" w14:textId="77777777" w:rsidR="00017E5B" w:rsidRPr="003B0F77" w:rsidRDefault="00017E5B"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63360" behindDoc="0" locked="0" layoutInCell="1" allowOverlap="1" wp14:anchorId="684C4C10" wp14:editId="520EE53E">
          <wp:simplePos x="0" y="0"/>
          <wp:positionH relativeFrom="column">
            <wp:posOffset>4797425</wp:posOffset>
          </wp:positionH>
          <wp:positionV relativeFrom="paragraph">
            <wp:posOffset>-169545</wp:posOffset>
          </wp:positionV>
          <wp:extent cx="897890" cy="59626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 xml:space="preserve">                                                                          </w:t>
    </w:r>
    <w:r w:rsidRPr="003B0F77">
      <w:rPr>
        <w:rFonts w:asciiTheme="majorHAnsi" w:hAnsiTheme="majorHAnsi"/>
        <w:sz w:val="20"/>
      </w:rPr>
      <w:t>teachSam-OER 20</w:t>
    </w:r>
    <w:r>
      <w:rPr>
        <w:rFonts w:asciiTheme="majorHAnsi" w:hAnsiTheme="majorHAnsi"/>
        <w:sz w:val="20"/>
      </w:rPr>
      <w:t>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6EE5AB7"/>
    <w:multiLevelType w:val="hybridMultilevel"/>
    <w:tmpl w:val="B55C1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4B0758"/>
    <w:multiLevelType w:val="hybridMultilevel"/>
    <w:tmpl w:val="FCAE2A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EB411A"/>
    <w:multiLevelType w:val="hybridMultilevel"/>
    <w:tmpl w:val="3BDE3F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BD3688"/>
    <w:multiLevelType w:val="hybridMultilevel"/>
    <w:tmpl w:val="8BD03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CD6440"/>
    <w:multiLevelType w:val="hybridMultilevel"/>
    <w:tmpl w:val="641CE0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F21296"/>
    <w:multiLevelType w:val="hybridMultilevel"/>
    <w:tmpl w:val="8EF00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619390F"/>
    <w:multiLevelType w:val="hybridMultilevel"/>
    <w:tmpl w:val="6B66A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E1340A"/>
    <w:multiLevelType w:val="hybridMultilevel"/>
    <w:tmpl w:val="3BD236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9FF66EA"/>
    <w:multiLevelType w:val="multilevel"/>
    <w:tmpl w:val="BAA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A733F"/>
    <w:multiLevelType w:val="hybridMultilevel"/>
    <w:tmpl w:val="01186D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8">
    <w:nsid w:val="6F014CAF"/>
    <w:multiLevelType w:val="hybridMultilevel"/>
    <w:tmpl w:val="1F5A39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2CF4DAD"/>
    <w:multiLevelType w:val="hybridMultilevel"/>
    <w:tmpl w:val="BC60323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B750AC5"/>
    <w:multiLevelType w:val="hybridMultilevel"/>
    <w:tmpl w:val="8D28B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C22074A"/>
    <w:multiLevelType w:val="hybridMultilevel"/>
    <w:tmpl w:val="9368667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nsid w:val="7D7F3EE7"/>
    <w:multiLevelType w:val="hybridMultilevel"/>
    <w:tmpl w:val="D3ECAA8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3"/>
  </w:num>
  <w:num w:numId="4">
    <w:abstractNumId w:val="7"/>
  </w:num>
  <w:num w:numId="5">
    <w:abstractNumId w:val="29"/>
  </w:num>
  <w:num w:numId="6">
    <w:abstractNumId w:val="3"/>
  </w:num>
  <w:num w:numId="7">
    <w:abstractNumId w:val="2"/>
  </w:num>
  <w:num w:numId="8">
    <w:abstractNumId w:val="0"/>
  </w:num>
  <w:num w:numId="9">
    <w:abstractNumId w:val="13"/>
  </w:num>
  <w:num w:numId="10">
    <w:abstractNumId w:val="31"/>
  </w:num>
  <w:num w:numId="11">
    <w:abstractNumId w:val="26"/>
  </w:num>
  <w:num w:numId="12">
    <w:abstractNumId w:val="18"/>
  </w:num>
  <w:num w:numId="13">
    <w:abstractNumId w:val="27"/>
  </w:num>
  <w:num w:numId="14">
    <w:abstractNumId w:val="14"/>
  </w:num>
  <w:num w:numId="15">
    <w:abstractNumId w:val="9"/>
  </w:num>
  <w:num w:numId="16">
    <w:abstractNumId w:val="11"/>
  </w:num>
  <w:num w:numId="17">
    <w:abstractNumId w:val="5"/>
  </w:num>
  <w:num w:numId="18">
    <w:abstractNumId w:val="8"/>
  </w:num>
  <w:num w:numId="19">
    <w:abstractNumId w:val="32"/>
  </w:num>
  <w:num w:numId="20">
    <w:abstractNumId w:val="22"/>
  </w:num>
  <w:num w:numId="21">
    <w:abstractNumId w:val="1"/>
  </w:num>
  <w:num w:numId="22">
    <w:abstractNumId w:val="4"/>
  </w:num>
  <w:num w:numId="23">
    <w:abstractNumId w:val="20"/>
  </w:num>
  <w:num w:numId="24">
    <w:abstractNumId w:val="19"/>
  </w:num>
  <w:num w:numId="25">
    <w:abstractNumId w:val="35"/>
  </w:num>
  <w:num w:numId="26">
    <w:abstractNumId w:val="33"/>
  </w:num>
  <w:num w:numId="27">
    <w:abstractNumId w:val="15"/>
  </w:num>
  <w:num w:numId="28">
    <w:abstractNumId w:val="34"/>
  </w:num>
  <w:num w:numId="29">
    <w:abstractNumId w:val="24"/>
  </w:num>
  <w:num w:numId="30">
    <w:abstractNumId w:val="28"/>
  </w:num>
  <w:num w:numId="31">
    <w:abstractNumId w:val="6"/>
  </w:num>
  <w:num w:numId="32">
    <w:abstractNumId w:val="30"/>
  </w:num>
  <w:num w:numId="33">
    <w:abstractNumId w:val="12"/>
  </w:num>
  <w:num w:numId="34">
    <w:abstractNumId w:val="21"/>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17E5B"/>
    <w:rsid w:val="000320C5"/>
    <w:rsid w:val="00057F89"/>
    <w:rsid w:val="00065E89"/>
    <w:rsid w:val="000A0C8B"/>
    <w:rsid w:val="000A2339"/>
    <w:rsid w:val="000F3433"/>
    <w:rsid w:val="00153614"/>
    <w:rsid w:val="00183329"/>
    <w:rsid w:val="0019512F"/>
    <w:rsid w:val="001A69B0"/>
    <w:rsid w:val="001B52BE"/>
    <w:rsid w:val="001B6478"/>
    <w:rsid w:val="001C6226"/>
    <w:rsid w:val="001C62B6"/>
    <w:rsid w:val="002012E8"/>
    <w:rsid w:val="00216E98"/>
    <w:rsid w:val="00227AF7"/>
    <w:rsid w:val="00236BDA"/>
    <w:rsid w:val="00250E98"/>
    <w:rsid w:val="0026014A"/>
    <w:rsid w:val="0026778B"/>
    <w:rsid w:val="00277E18"/>
    <w:rsid w:val="002B5429"/>
    <w:rsid w:val="002C7DAA"/>
    <w:rsid w:val="002F2CA4"/>
    <w:rsid w:val="002F7A3B"/>
    <w:rsid w:val="003016EC"/>
    <w:rsid w:val="00322803"/>
    <w:rsid w:val="0036238C"/>
    <w:rsid w:val="00370F12"/>
    <w:rsid w:val="00372475"/>
    <w:rsid w:val="00382238"/>
    <w:rsid w:val="003861AD"/>
    <w:rsid w:val="00397058"/>
    <w:rsid w:val="003A41EC"/>
    <w:rsid w:val="003B0F77"/>
    <w:rsid w:val="003B2FF8"/>
    <w:rsid w:val="003C698F"/>
    <w:rsid w:val="003F0DEC"/>
    <w:rsid w:val="003F115E"/>
    <w:rsid w:val="003F7FF2"/>
    <w:rsid w:val="00401B30"/>
    <w:rsid w:val="004231AC"/>
    <w:rsid w:val="00455B09"/>
    <w:rsid w:val="00473430"/>
    <w:rsid w:val="00486EE5"/>
    <w:rsid w:val="004A3253"/>
    <w:rsid w:val="004D4C73"/>
    <w:rsid w:val="00546872"/>
    <w:rsid w:val="005513EF"/>
    <w:rsid w:val="00592822"/>
    <w:rsid w:val="005A068A"/>
    <w:rsid w:val="005B4958"/>
    <w:rsid w:val="005B7D8B"/>
    <w:rsid w:val="005F1807"/>
    <w:rsid w:val="005F4234"/>
    <w:rsid w:val="006411D4"/>
    <w:rsid w:val="00643843"/>
    <w:rsid w:val="00661704"/>
    <w:rsid w:val="006629B6"/>
    <w:rsid w:val="00707ECD"/>
    <w:rsid w:val="00717F9D"/>
    <w:rsid w:val="0073794C"/>
    <w:rsid w:val="007528A3"/>
    <w:rsid w:val="0078630F"/>
    <w:rsid w:val="007D56D8"/>
    <w:rsid w:val="007F4323"/>
    <w:rsid w:val="007F744C"/>
    <w:rsid w:val="00800374"/>
    <w:rsid w:val="0085791F"/>
    <w:rsid w:val="008A7AED"/>
    <w:rsid w:val="008E43E6"/>
    <w:rsid w:val="008F6F18"/>
    <w:rsid w:val="00904E22"/>
    <w:rsid w:val="00913AF8"/>
    <w:rsid w:val="00935348"/>
    <w:rsid w:val="00951D30"/>
    <w:rsid w:val="00976B08"/>
    <w:rsid w:val="00985A16"/>
    <w:rsid w:val="00987661"/>
    <w:rsid w:val="009A5419"/>
    <w:rsid w:val="009B080D"/>
    <w:rsid w:val="009B57D5"/>
    <w:rsid w:val="009E43EF"/>
    <w:rsid w:val="00A05BA7"/>
    <w:rsid w:val="00A27D10"/>
    <w:rsid w:val="00A559DB"/>
    <w:rsid w:val="00AA7AC4"/>
    <w:rsid w:val="00AB4BA4"/>
    <w:rsid w:val="00AF7544"/>
    <w:rsid w:val="00B27EC3"/>
    <w:rsid w:val="00B35E13"/>
    <w:rsid w:val="00B443E5"/>
    <w:rsid w:val="00BB562E"/>
    <w:rsid w:val="00BC6F8C"/>
    <w:rsid w:val="00BD69DD"/>
    <w:rsid w:val="00C0249D"/>
    <w:rsid w:val="00C46117"/>
    <w:rsid w:val="00C47743"/>
    <w:rsid w:val="00C61BAA"/>
    <w:rsid w:val="00C61D7E"/>
    <w:rsid w:val="00D2507C"/>
    <w:rsid w:val="00D327EA"/>
    <w:rsid w:val="00D32EE8"/>
    <w:rsid w:val="00D34DBA"/>
    <w:rsid w:val="00D564FD"/>
    <w:rsid w:val="00D768A1"/>
    <w:rsid w:val="00D9673C"/>
    <w:rsid w:val="00E73416"/>
    <w:rsid w:val="00EC2549"/>
    <w:rsid w:val="00EE2BE8"/>
    <w:rsid w:val="00EF0591"/>
    <w:rsid w:val="00F042D7"/>
    <w:rsid w:val="00F0664A"/>
    <w:rsid w:val="00F300C0"/>
    <w:rsid w:val="00F3736C"/>
    <w:rsid w:val="00F50AE4"/>
    <w:rsid w:val="00F746D1"/>
    <w:rsid w:val="00F8035C"/>
    <w:rsid w:val="00FA1870"/>
    <w:rsid w:val="00FA2CF0"/>
    <w:rsid w:val="00FA7678"/>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B554163-6E1A-4FE1-92EC-0007CC1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2E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F74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443E5"/>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customStyle="1" w:styleId="berschrift1Zchn">
    <w:name w:val="Überschrift 1 Zchn"/>
    <w:basedOn w:val="Absatz-Standardschriftart"/>
    <w:link w:val="berschrift1"/>
    <w:uiPriority w:val="9"/>
    <w:rsid w:val="00D32EE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F744C"/>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2012E8"/>
    <w:pPr>
      <w:spacing w:before="100" w:beforeAutospacing="1" w:after="100" w:afterAutospacing="1"/>
    </w:pPr>
    <w:rPr>
      <w:rFonts w:ascii="Times New Roman" w:hAnsi="Times New Roman" w:cs="Times New Roman"/>
    </w:rPr>
  </w:style>
  <w:style w:type="character" w:customStyle="1" w:styleId="berschrift3Zchn">
    <w:name w:val="Überschrift 3 Zchn"/>
    <w:basedOn w:val="Absatz-Standardschriftart"/>
    <w:link w:val="berschrift3"/>
    <w:rsid w:val="00B443E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0330845">
      <w:bodyDiv w:val="1"/>
      <w:marLeft w:val="0"/>
      <w:marRight w:val="0"/>
      <w:marTop w:val="0"/>
      <w:marBottom w:val="0"/>
      <w:divBdr>
        <w:top w:val="none" w:sz="0" w:space="0" w:color="auto"/>
        <w:left w:val="none" w:sz="0" w:space="0" w:color="auto"/>
        <w:bottom w:val="none" w:sz="0" w:space="0" w:color="auto"/>
        <w:right w:val="none" w:sz="0" w:space="0" w:color="auto"/>
      </w:divBdr>
    </w:div>
    <w:div w:id="1640380116">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yperlink" Target="file:///P:\deutsch\d_lingu\synt\wort\Verb\verb_modus\verb_modus_3_3_2.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B5F31-8D16-A043-B640-085607E8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3457</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2019-04-21T10:52:00Z</cp:lastPrinted>
  <dcterms:created xsi:type="dcterms:W3CDTF">2019-04-22T06:03:00Z</dcterms:created>
  <dcterms:modified xsi:type="dcterms:W3CDTF">2019-04-22T06:03:00Z</dcterms:modified>
</cp:coreProperties>
</file>