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6FE3412E" w:rsidR="00065E89" w:rsidRPr="00C61D7E" w:rsidRDefault="00383A85" w:rsidP="00FA1870">
      <w:pPr>
        <w:rPr>
          <w:b/>
          <w:sz w:val="32"/>
        </w:rPr>
      </w:pPr>
      <w:r>
        <w:rPr>
          <w:b/>
          <w:sz w:val="32"/>
        </w:rPr>
        <w:t>Der Aufbruch</w:t>
      </w:r>
      <w:bookmarkStart w:id="0" w:name="_GoBack"/>
      <w:bookmarkEnd w:id="0"/>
    </w:p>
    <w:p w14:paraId="500AC2BE" w14:textId="4827FCFC" w:rsidR="00F0664A" w:rsidRPr="00D24474" w:rsidRDefault="00677BF5" w:rsidP="007D56D8">
      <w:pPr>
        <w:rPr>
          <w:sz w:val="8"/>
        </w:rPr>
      </w:pPr>
      <w:r>
        <w:t>Franz Kafka</w:t>
      </w:r>
      <w:r w:rsidR="007D56D8">
        <w:br/>
      </w:r>
    </w:p>
    <w:p w14:paraId="71F34664" w14:textId="77777777" w:rsidR="00D327EA" w:rsidRPr="00D24474" w:rsidRDefault="00D327EA" w:rsidP="007D56D8">
      <w:pPr>
        <w:ind w:firstLine="709"/>
        <w:rPr>
          <w:sz w:val="14"/>
          <w:szCs w:val="22"/>
        </w:rPr>
        <w:sectPr w:rsidR="00D327EA" w:rsidRPr="00D24474"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0D3F2B33" w14:textId="60D5159D" w:rsidR="00DB3D5C" w:rsidRPr="00DB3D5C" w:rsidRDefault="00383A85" w:rsidP="00D24474">
      <w:pPr>
        <w:spacing w:line="320" w:lineRule="exact"/>
        <w:ind w:right="1695"/>
        <w:rPr>
          <w:szCs w:val="22"/>
        </w:rPr>
      </w:pPr>
      <w:r w:rsidRPr="00383A85">
        <w:rPr>
          <w:szCs w:val="22"/>
        </w:rPr>
        <w:t>Ich befahl mein Pferd aus dem Stall zu holen. Der Diener verstand mich nicht. Ich ging selbst in den Stall, sattelte mein Pferd und bestieg es. In der Ferne hörte ich eine Trompete blasen, ich fragte ihn, was das bedeute. Er wusste nichts und hatte nichts gehört. Beim Tore hielt er mich auf und fragte: "Wohin reitest du, Herr?" "Ich weiß es nicht," sagte ich, "nur weg von hier. Immerfort weg von hier, nur so kann ich mein Ziel erreichen." "Du kennst also dein Ziel?" fragte er. "Ja," antwortete ich, "ich sagte es doch: »Weg-von-hier«, das ist mein Ziel." "Du hast keinen Essvorrat mit," sagte er. "Ich brauche keinen," sagte ich, "die Reise ist so lang, dass ich verhungern muss, wenn ich auf dem Weg nichts bekomme. Kein Essvorrat kann mich retten. Es ist ja zum Glück eine wahrhaft ungeheure Reise."</w:t>
      </w:r>
    </w:p>
    <w:p w14:paraId="6416C69C" w14:textId="77777777" w:rsidR="00D327EA" w:rsidRDefault="00D327EA" w:rsidP="009628C3">
      <w:pPr>
        <w:spacing w:line="260" w:lineRule="exact"/>
        <w:ind w:right="1695"/>
        <w:rPr>
          <w:sz w:val="10"/>
          <w:szCs w:val="22"/>
        </w:rPr>
        <w:sectPr w:rsidR="00D327EA" w:rsidSect="00D327EA">
          <w:headerReference w:type="default" r:id="rId12"/>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24474" w:rsidRDefault="007D56D8" w:rsidP="007D56D8">
      <w:pPr>
        <w:rPr>
          <w:sz w:val="8"/>
          <w:szCs w:val="22"/>
        </w:rPr>
      </w:pPr>
    </w:p>
    <w:p w14:paraId="0BAAC8A7" w14:textId="35AF1985" w:rsidR="00D24474" w:rsidRDefault="00FB3475" w:rsidP="00D24474">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3">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sidR="00383A85">
        <w:rPr>
          <w:rFonts w:cs="Arial"/>
          <w:sz w:val="18"/>
          <w:szCs w:val="18"/>
        </w:rPr>
        <w:t>Der Aufbruch</w:t>
      </w:r>
      <w:r w:rsidRPr="00D24474">
        <w:rPr>
          <w:rFonts w:cs="Arial"/>
          <w:sz w:val="18"/>
          <w:szCs w:val="18"/>
        </w:rPr>
        <w:t xml:space="preserve">, von Franz Kafka), das durch </w:t>
      </w:r>
      <w:hyperlink r:id="rId14"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1972CA34" w14:textId="77777777" w:rsidR="00383A85" w:rsidRPr="00D24474" w:rsidRDefault="00383A85" w:rsidP="00D24474">
      <w:pPr>
        <w:spacing w:line="260" w:lineRule="exact"/>
        <w:ind w:right="-6"/>
        <w:rPr>
          <w:rFonts w:ascii="Arial" w:hAnsi="Arial" w:cs="Arial"/>
          <w:sz w:val="18"/>
          <w:szCs w:val="18"/>
        </w:rPr>
      </w:pPr>
    </w:p>
    <w:p w14:paraId="19867C6A" w14:textId="4228A85F" w:rsidR="00D24474" w:rsidRPr="007F1B85" w:rsidRDefault="00A56570" w:rsidP="00D24474">
      <w:pPr>
        <w:spacing w:line="260" w:lineRule="exact"/>
        <w:ind w:right="1695"/>
        <w:rPr>
          <w:szCs w:val="22"/>
        </w:rPr>
      </w:pPr>
      <w:r>
        <w:rPr>
          <w:szCs w:val="22"/>
        </w:rPr>
        <w:t xml:space="preserve">(Quelle: </w:t>
      </w:r>
      <w:r w:rsidR="00D24474" w:rsidRPr="00DB3D5C">
        <w:rPr>
          <w:szCs w:val="22"/>
        </w:rPr>
        <w:t>Franz Kafka, Sämtliche Erzählungen,. hg. v. Paul Raabe, Fischer Taschenbuch 1078, Frankfurt/M. 1970, S.320f.)</w:t>
      </w:r>
    </w:p>
    <w:p w14:paraId="695D3273" w14:textId="4DF4F53E" w:rsidR="00486EE5" w:rsidRPr="00FB3475" w:rsidRDefault="00486EE5" w:rsidP="00486EE5">
      <w:pPr>
        <w:rPr>
          <w:sz w:val="22"/>
          <w:szCs w:val="22"/>
        </w:rPr>
      </w:pPr>
    </w:p>
    <w:p w14:paraId="60E6CAEF" w14:textId="2CD014C3"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P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10CD4DA2" w14:textId="77777777" w:rsidR="00383A85" w:rsidRPr="00383A85" w:rsidRDefault="00383A85" w:rsidP="00383A85">
      <w:pPr>
        <w:pStyle w:val="StandardWeb"/>
        <w:numPr>
          <w:ilvl w:val="0"/>
          <w:numId w:val="19"/>
        </w:numPr>
        <w:rPr>
          <w:rFonts w:asciiTheme="majorHAnsi" w:hAnsiTheme="majorHAnsi" w:cs="Arial"/>
          <w:sz w:val="20"/>
          <w:szCs w:val="20"/>
        </w:rPr>
      </w:pPr>
      <w:r w:rsidRPr="00383A85">
        <w:rPr>
          <w:rFonts w:asciiTheme="majorHAnsi" w:hAnsiTheme="majorHAnsi" w:cs="Arial"/>
          <w:sz w:val="20"/>
          <w:szCs w:val="20"/>
        </w:rPr>
        <w:t>Geben Sie den Inhalt des Textes wieder, indem Sie von den (Sprech-)Handlungen der beiden Personen ausgehen.</w:t>
      </w:r>
    </w:p>
    <w:p w14:paraId="29A35B37" w14:textId="058FFCB2" w:rsidR="00383A85" w:rsidRPr="00383A85" w:rsidRDefault="00383A85" w:rsidP="00383A85">
      <w:pPr>
        <w:pStyle w:val="StandardWeb"/>
        <w:numPr>
          <w:ilvl w:val="0"/>
          <w:numId w:val="19"/>
        </w:numPr>
        <w:rPr>
          <w:rFonts w:asciiTheme="majorHAnsi" w:hAnsiTheme="majorHAnsi" w:cs="Arial"/>
          <w:sz w:val="20"/>
          <w:szCs w:val="20"/>
        </w:rPr>
      </w:pPr>
      <w:r w:rsidRPr="00383A85">
        <w:rPr>
          <w:rFonts w:asciiTheme="majorHAnsi" w:hAnsiTheme="majorHAnsi" w:cs="Arial"/>
          <w:sz w:val="20"/>
          <w:szCs w:val="20"/>
        </w:rPr>
        <w:t>Analysieren Sie den Text.</w:t>
      </w:r>
      <w:r>
        <w:rPr>
          <w:rFonts w:asciiTheme="majorHAnsi" w:hAnsiTheme="majorHAnsi" w:cs="Arial"/>
          <w:sz w:val="20"/>
          <w:szCs w:val="20"/>
        </w:rPr>
        <w:br/>
      </w:r>
      <w:r w:rsidRPr="00383A85">
        <w:rPr>
          <w:rFonts w:asciiTheme="majorHAnsi" w:hAnsiTheme="majorHAnsi" w:cs="Arial"/>
          <w:sz w:val="20"/>
          <w:szCs w:val="20"/>
        </w:rPr>
        <w:t xml:space="preserve">Berücksichtigen Sie dabei  u. a. die in den folgenden Fragen enthaltenen Aspekte. </w:t>
      </w:r>
    </w:p>
    <w:p w14:paraId="7AEF25FE" w14:textId="77777777" w:rsidR="00383A85" w:rsidRPr="00383A85" w:rsidRDefault="00383A85" w:rsidP="00383A85">
      <w:pPr>
        <w:pStyle w:val="StandardWeb"/>
        <w:numPr>
          <w:ilvl w:val="1"/>
          <w:numId w:val="20"/>
        </w:numPr>
        <w:rPr>
          <w:rFonts w:asciiTheme="majorHAnsi" w:hAnsiTheme="majorHAnsi" w:cs="Arial"/>
          <w:sz w:val="20"/>
          <w:szCs w:val="20"/>
        </w:rPr>
      </w:pPr>
      <w:r w:rsidRPr="00383A85">
        <w:rPr>
          <w:rFonts w:asciiTheme="majorHAnsi" w:hAnsiTheme="majorHAnsi" w:cs="Arial"/>
          <w:sz w:val="20"/>
          <w:szCs w:val="20"/>
        </w:rPr>
        <w:t>Welche Situationen durchläuft der Ich-Erzähler in dieser Geschichte?</w:t>
      </w:r>
    </w:p>
    <w:p w14:paraId="43917962" w14:textId="77777777" w:rsidR="00383A85" w:rsidRPr="00383A85" w:rsidRDefault="00383A85" w:rsidP="00383A85">
      <w:pPr>
        <w:pStyle w:val="StandardWeb"/>
        <w:numPr>
          <w:ilvl w:val="1"/>
          <w:numId w:val="20"/>
        </w:numPr>
        <w:rPr>
          <w:rFonts w:asciiTheme="majorHAnsi" w:hAnsiTheme="majorHAnsi" w:cs="Arial"/>
          <w:sz w:val="20"/>
          <w:szCs w:val="20"/>
        </w:rPr>
      </w:pPr>
      <w:r w:rsidRPr="00383A85">
        <w:rPr>
          <w:rFonts w:asciiTheme="majorHAnsi" w:hAnsiTheme="majorHAnsi" w:cs="Arial"/>
          <w:sz w:val="20"/>
          <w:szCs w:val="20"/>
        </w:rPr>
        <w:t>Welche Schlüsselbegriffe im Bildbereich haben eine offenbar tiefere Bedeutung? Wie könnten diese Begriffe gedeutet werden? (=Konstruktion eines Sachbereichs)</w:t>
      </w:r>
    </w:p>
    <w:p w14:paraId="3EEA8509" w14:textId="77777777" w:rsidR="00383A85" w:rsidRPr="00383A85" w:rsidRDefault="00383A85" w:rsidP="00383A85">
      <w:pPr>
        <w:pStyle w:val="StandardWeb"/>
        <w:numPr>
          <w:ilvl w:val="1"/>
          <w:numId w:val="20"/>
        </w:numPr>
        <w:rPr>
          <w:rFonts w:asciiTheme="majorHAnsi" w:hAnsiTheme="majorHAnsi" w:cs="Arial"/>
          <w:sz w:val="20"/>
          <w:szCs w:val="20"/>
        </w:rPr>
      </w:pPr>
      <w:r w:rsidRPr="00383A85">
        <w:rPr>
          <w:rFonts w:asciiTheme="majorHAnsi" w:hAnsiTheme="majorHAnsi" w:cs="Arial"/>
          <w:sz w:val="20"/>
          <w:szCs w:val="20"/>
        </w:rPr>
        <w:t>Welche Erzählperspektive enthält der Text?</w:t>
      </w:r>
    </w:p>
    <w:p w14:paraId="45FE7B58" w14:textId="77777777" w:rsidR="00383A85" w:rsidRPr="00383A85" w:rsidRDefault="00383A85" w:rsidP="00383A85">
      <w:pPr>
        <w:pStyle w:val="StandardWeb"/>
        <w:numPr>
          <w:ilvl w:val="1"/>
          <w:numId w:val="20"/>
        </w:numPr>
        <w:rPr>
          <w:rFonts w:asciiTheme="majorHAnsi" w:hAnsiTheme="majorHAnsi" w:cs="Arial"/>
          <w:sz w:val="20"/>
          <w:szCs w:val="20"/>
        </w:rPr>
      </w:pPr>
      <w:r w:rsidRPr="00383A85">
        <w:rPr>
          <w:rFonts w:asciiTheme="majorHAnsi" w:hAnsiTheme="majorHAnsi" w:cs="Arial"/>
          <w:sz w:val="20"/>
          <w:szCs w:val="20"/>
        </w:rPr>
        <w:t>Welche Rolle spielen Zeit und Raum in dieser Erzählung?</w:t>
      </w:r>
    </w:p>
    <w:p w14:paraId="4ECEA6F9" w14:textId="77777777" w:rsidR="00383A85" w:rsidRPr="00383A85" w:rsidRDefault="00383A85" w:rsidP="00383A85">
      <w:pPr>
        <w:pStyle w:val="StandardWeb"/>
        <w:numPr>
          <w:ilvl w:val="1"/>
          <w:numId w:val="20"/>
        </w:numPr>
        <w:rPr>
          <w:rFonts w:asciiTheme="majorHAnsi" w:hAnsiTheme="majorHAnsi" w:cs="Arial"/>
          <w:sz w:val="20"/>
          <w:szCs w:val="20"/>
        </w:rPr>
      </w:pPr>
      <w:r w:rsidRPr="00383A85">
        <w:rPr>
          <w:rFonts w:asciiTheme="majorHAnsi" w:hAnsiTheme="majorHAnsi" w:cs="Arial"/>
          <w:sz w:val="20"/>
          <w:szCs w:val="20"/>
        </w:rPr>
        <w:t>Welche Aussage hat Ihrer Ansicht nach der Text?</w:t>
      </w:r>
    </w:p>
    <w:p w14:paraId="68E88DA6" w14:textId="77777777" w:rsidR="00383A85" w:rsidRPr="00383A85" w:rsidRDefault="00383A85" w:rsidP="00383A85">
      <w:pPr>
        <w:pStyle w:val="StandardWeb"/>
        <w:numPr>
          <w:ilvl w:val="1"/>
          <w:numId w:val="20"/>
        </w:numPr>
        <w:rPr>
          <w:rFonts w:asciiTheme="majorHAnsi" w:hAnsiTheme="majorHAnsi" w:cs="Arial"/>
          <w:sz w:val="20"/>
          <w:szCs w:val="20"/>
        </w:rPr>
      </w:pPr>
      <w:r w:rsidRPr="00383A85">
        <w:rPr>
          <w:rFonts w:asciiTheme="majorHAnsi" w:hAnsiTheme="majorHAnsi" w:cs="Arial"/>
          <w:sz w:val="20"/>
          <w:szCs w:val="20"/>
        </w:rPr>
        <w:t>Wie unterstützen sprachliche Mittel der Wortwahl (Semantik) und des Satzbaus (Syntax) die Aussageabsicht des Textes?</w:t>
      </w:r>
    </w:p>
    <w:p w14:paraId="3C8F086D" w14:textId="77777777" w:rsidR="00383A85" w:rsidRPr="00383A85" w:rsidRDefault="00383A85" w:rsidP="00383A85">
      <w:pPr>
        <w:pStyle w:val="StandardWeb"/>
        <w:numPr>
          <w:ilvl w:val="0"/>
          <w:numId w:val="19"/>
        </w:numPr>
        <w:rPr>
          <w:rFonts w:asciiTheme="majorHAnsi" w:hAnsiTheme="majorHAnsi" w:cs="Arial"/>
          <w:sz w:val="20"/>
          <w:szCs w:val="20"/>
        </w:rPr>
      </w:pPr>
      <w:r w:rsidRPr="00383A85">
        <w:rPr>
          <w:rFonts w:asciiTheme="majorHAnsi" w:hAnsiTheme="majorHAnsi" w:cs="Arial"/>
          <w:sz w:val="20"/>
          <w:szCs w:val="20"/>
        </w:rPr>
        <w:t>Zeigen Sie, um welche Textsorte es sich bei dem vorliegenden Text handelt.</w:t>
      </w:r>
    </w:p>
    <w:p w14:paraId="694FD122" w14:textId="4079CCEC" w:rsidR="00383A85" w:rsidRPr="00383A85" w:rsidRDefault="00383A85" w:rsidP="00383A85">
      <w:pPr>
        <w:pStyle w:val="StandardWeb"/>
        <w:numPr>
          <w:ilvl w:val="0"/>
          <w:numId w:val="19"/>
        </w:numPr>
        <w:rPr>
          <w:rFonts w:asciiTheme="majorHAnsi" w:hAnsiTheme="majorHAnsi" w:cs="Arial"/>
          <w:sz w:val="20"/>
          <w:szCs w:val="20"/>
        </w:rPr>
      </w:pPr>
      <w:r w:rsidRPr="00383A85">
        <w:rPr>
          <w:rFonts w:asciiTheme="majorHAnsi" w:hAnsiTheme="majorHAnsi" w:cs="Arial"/>
          <w:sz w:val="20"/>
          <w:szCs w:val="20"/>
        </w:rPr>
        <w:t>Fassen Sie abschließend Ihr Gesamtverständnis des Textes zusammen, indem Sie Rückschlüsse auf die dem Text zugrunde liegende Weltsicht Kafkas ziehen.</w:t>
      </w:r>
      <w:r>
        <w:rPr>
          <w:rFonts w:asciiTheme="majorHAnsi" w:hAnsiTheme="majorHAnsi" w:cs="Arial"/>
          <w:sz w:val="20"/>
          <w:szCs w:val="20"/>
        </w:rPr>
        <w:br/>
      </w:r>
      <w:r w:rsidRPr="00383A85">
        <w:rPr>
          <w:rFonts w:asciiTheme="majorHAnsi" w:hAnsiTheme="majorHAnsi" w:cs="Arial"/>
          <w:sz w:val="20"/>
          <w:szCs w:val="20"/>
        </w:rPr>
        <w:t>Beziehen Sie dabei die folgende Äußerung mit ein:</w:t>
      </w:r>
      <w:r>
        <w:rPr>
          <w:rFonts w:asciiTheme="majorHAnsi" w:hAnsiTheme="majorHAnsi" w:cs="Arial"/>
          <w:sz w:val="20"/>
          <w:szCs w:val="20"/>
        </w:rPr>
        <w:br/>
      </w:r>
      <w:r w:rsidRPr="00383A85">
        <w:rPr>
          <w:rFonts w:asciiTheme="majorHAnsi" w:hAnsiTheme="majorHAnsi" w:cs="Arial"/>
          <w:sz w:val="20"/>
          <w:szCs w:val="20"/>
        </w:rPr>
        <w:t>"Kafkas durchgehendes Thema, die misslingende Ankunft oder das verfehlte Ziel, resultiert aus der Grunderfahrung einer ausweglosen Einsamkeit." (F. Beißner, Kafka der Dichter, 1983)</w:t>
      </w:r>
    </w:p>
    <w:p w14:paraId="07DF4CD8" w14:textId="1BB74929" w:rsidR="00DB3D5C" w:rsidRPr="00FB3475" w:rsidRDefault="00FB3475" w:rsidP="00383A85">
      <w:pPr>
        <w:pStyle w:val="StandardWeb"/>
        <w:ind w:left="36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Pr>
          <w:rFonts w:asciiTheme="majorHAnsi" w:hAnsiTheme="majorHAnsi" w:cs="Arial"/>
          <w:sz w:val="20"/>
          <w:szCs w:val="20"/>
        </w:rPr>
        <w:t xml:space="preserve"> und </w:t>
      </w:r>
      <w:r w:rsidRPr="00D24474">
        <w:rPr>
          <w:rFonts w:asciiTheme="majorHAnsi" w:hAnsiTheme="majorHAnsi" w:cs="Arial"/>
          <w:i/>
          <w:sz w:val="20"/>
          <w:szCs w:val="20"/>
        </w:rPr>
        <w:t>Parabelinterpretation</w:t>
      </w:r>
      <w:r>
        <w:rPr>
          <w:rFonts w:asciiTheme="majorHAnsi" w:hAnsiTheme="majorHAnsi" w:cs="Arial"/>
          <w:sz w:val="20"/>
          <w:szCs w:val="20"/>
        </w:rPr>
        <w:t xml:space="preserve"> auf </w:t>
      </w:r>
      <w:hyperlink r:id="rId15" w:history="1">
        <w:r w:rsidRPr="00FB3475">
          <w:rPr>
            <w:rStyle w:val="Hyperlink"/>
            <w:rFonts w:asciiTheme="majorHAnsi" w:hAnsiTheme="majorHAnsi" w:cs="Arial"/>
            <w:sz w:val="20"/>
            <w:szCs w:val="20"/>
            <w:u w:val="none"/>
          </w:rPr>
          <w:t>www.teachsam.de</w:t>
        </w:r>
      </w:hyperlink>
      <w:r w:rsidR="00A56570">
        <w:rPr>
          <w:rStyle w:val="Hyperlink"/>
          <w:rFonts w:asciiTheme="majorHAnsi" w:hAnsiTheme="majorHAnsi" w:cs="Arial"/>
          <w:sz w:val="20"/>
          <w:szCs w:val="20"/>
          <w:u w:val="none"/>
        </w:rPr>
        <w:br/>
      </w:r>
    </w:p>
    <w:p w14:paraId="62B5021C" w14:textId="6675F6EC" w:rsidR="00FB3475" w:rsidRPr="00FB3475" w:rsidRDefault="00EE6790" w:rsidP="00FB3475">
      <w:pPr>
        <w:pStyle w:val="StandardWeb"/>
        <w:numPr>
          <w:ilvl w:val="0"/>
          <w:numId w:val="18"/>
        </w:numPr>
        <w:spacing w:before="0" w:beforeAutospacing="0" w:after="0" w:afterAutospacing="0"/>
        <w:rPr>
          <w:rFonts w:asciiTheme="majorHAnsi" w:hAnsiTheme="majorHAnsi" w:cs="Arial"/>
          <w:sz w:val="18"/>
          <w:szCs w:val="20"/>
        </w:rPr>
      </w:pPr>
      <w:hyperlink r:id="rId16"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Pr="00FB3475" w:rsidRDefault="00EE6790" w:rsidP="00FB3475">
      <w:pPr>
        <w:pStyle w:val="StandardWeb"/>
        <w:numPr>
          <w:ilvl w:val="0"/>
          <w:numId w:val="18"/>
        </w:numPr>
        <w:spacing w:before="0" w:beforeAutospacing="0" w:after="0" w:afterAutospacing="0"/>
        <w:rPr>
          <w:rFonts w:asciiTheme="majorHAnsi" w:hAnsiTheme="majorHAnsi" w:cs="Arial"/>
          <w:sz w:val="18"/>
          <w:szCs w:val="20"/>
        </w:rPr>
      </w:pPr>
      <w:hyperlink r:id="rId17"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sectPr w:rsidR="00FB3475" w:rsidRPr="00FB347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3B6AD7A2" w:rsidR="001B6478" w:rsidRPr="003B0F77" w:rsidRDefault="00EE6790"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383A8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AF603C"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383A85">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944B14E"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6"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DC0228"/>
    <w:multiLevelType w:val="hybridMultilevel"/>
    <w:tmpl w:val="DDE8A6B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3"/>
  </w:num>
  <w:num w:numId="5">
    <w:abstractNumId w:val="16"/>
  </w:num>
  <w:num w:numId="6">
    <w:abstractNumId w:val="2"/>
  </w:num>
  <w:num w:numId="7">
    <w:abstractNumId w:val="1"/>
  </w:num>
  <w:num w:numId="8">
    <w:abstractNumId w:val="0"/>
  </w:num>
  <w:num w:numId="9">
    <w:abstractNumId w:val="5"/>
  </w:num>
  <w:num w:numId="10">
    <w:abstractNumId w:val="18"/>
  </w:num>
  <w:num w:numId="11">
    <w:abstractNumId w:val="14"/>
  </w:num>
  <w:num w:numId="12">
    <w:abstractNumId w:val="10"/>
  </w:num>
  <w:num w:numId="13">
    <w:abstractNumId w:val="15"/>
  </w:num>
  <w:num w:numId="14">
    <w:abstractNumId w:val="4"/>
  </w:num>
  <w:num w:numId="15">
    <w:abstractNumId w:val="9"/>
  </w:num>
  <w:num w:numId="16">
    <w:abstractNumId w:val="13"/>
  </w:num>
  <w:num w:numId="17">
    <w:abstractNumId w:val="6"/>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6014A"/>
    <w:rsid w:val="00267678"/>
    <w:rsid w:val="002B6CC1"/>
    <w:rsid w:val="003016EC"/>
    <w:rsid w:val="00322803"/>
    <w:rsid w:val="00336691"/>
    <w:rsid w:val="0036088E"/>
    <w:rsid w:val="00383A85"/>
    <w:rsid w:val="003A41EC"/>
    <w:rsid w:val="003B0F77"/>
    <w:rsid w:val="003D3D1E"/>
    <w:rsid w:val="0044013C"/>
    <w:rsid w:val="00455B09"/>
    <w:rsid w:val="00473430"/>
    <w:rsid w:val="00486EE5"/>
    <w:rsid w:val="00546872"/>
    <w:rsid w:val="005513EF"/>
    <w:rsid w:val="00592822"/>
    <w:rsid w:val="005B4958"/>
    <w:rsid w:val="005B7D8B"/>
    <w:rsid w:val="005F1807"/>
    <w:rsid w:val="005F4234"/>
    <w:rsid w:val="006411D4"/>
    <w:rsid w:val="00643843"/>
    <w:rsid w:val="00661704"/>
    <w:rsid w:val="00677BF5"/>
    <w:rsid w:val="007130BF"/>
    <w:rsid w:val="0073794C"/>
    <w:rsid w:val="007528A3"/>
    <w:rsid w:val="00773F41"/>
    <w:rsid w:val="007D56D8"/>
    <w:rsid w:val="007F1B85"/>
    <w:rsid w:val="008A7AED"/>
    <w:rsid w:val="008F6F18"/>
    <w:rsid w:val="00913AF8"/>
    <w:rsid w:val="00935348"/>
    <w:rsid w:val="009628C3"/>
    <w:rsid w:val="00985A16"/>
    <w:rsid w:val="00987661"/>
    <w:rsid w:val="00991DD3"/>
    <w:rsid w:val="009A5419"/>
    <w:rsid w:val="009B080D"/>
    <w:rsid w:val="00A05BA7"/>
    <w:rsid w:val="00A27D10"/>
    <w:rsid w:val="00A56570"/>
    <w:rsid w:val="00AA7AC4"/>
    <w:rsid w:val="00AB4BA4"/>
    <w:rsid w:val="00AC7F45"/>
    <w:rsid w:val="00AF7544"/>
    <w:rsid w:val="00BB562E"/>
    <w:rsid w:val="00C0249D"/>
    <w:rsid w:val="00C43AFE"/>
    <w:rsid w:val="00C47743"/>
    <w:rsid w:val="00C61BAA"/>
    <w:rsid w:val="00C61D7E"/>
    <w:rsid w:val="00D24474"/>
    <w:rsid w:val="00D2507C"/>
    <w:rsid w:val="00D327EA"/>
    <w:rsid w:val="00D34DBA"/>
    <w:rsid w:val="00D57845"/>
    <w:rsid w:val="00DB3D5C"/>
    <w:rsid w:val="00EC2549"/>
    <w:rsid w:val="00EE2BE8"/>
    <w:rsid w:val="00EE6790"/>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B9ADA87"/>
  <w14:defaultImageDpi w14:val="300"/>
  <w15:docId w15:val="{974C70C1-BD93-4957-97B4-A8E256E1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achsam.de/deutsch/d_literatur/d_gat/d_epik/txtsor/epi_klein/para/par0.htm" TargetMode="External"/><Relationship Id="rId2" Type="http://schemas.openxmlformats.org/officeDocument/2006/relationships/numbering" Target="numbering.xml"/><Relationship Id="rId16" Type="http://schemas.openxmlformats.org/officeDocument/2006/relationships/hyperlink" Target="http://www.teachsam.de/deutsch/d_literatur/d_gat/d_epik/strukt/struk_beg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D643-C1F1-41B9-9815-262A9E3A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Gert Egle</cp:lastModifiedBy>
  <cp:revision>2</cp:revision>
  <cp:lastPrinted>2014-02-04T21:07:00Z</cp:lastPrinted>
  <dcterms:created xsi:type="dcterms:W3CDTF">2019-01-03T19:47:00Z</dcterms:created>
  <dcterms:modified xsi:type="dcterms:W3CDTF">2019-01-03T19:47:00Z</dcterms:modified>
</cp:coreProperties>
</file>