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C2BE" w14:textId="38B06783" w:rsidR="00F0664A" w:rsidRPr="005D2C1C" w:rsidRDefault="001E1EF2" w:rsidP="005D2C1C">
      <w:pPr>
        <w:pStyle w:val="berschrift1"/>
        <w:spacing w:before="0"/>
        <w:rPr>
          <w:rFonts w:asciiTheme="minorHAnsi" w:hAnsiTheme="minorHAnsi"/>
          <w:b/>
          <w:bCs/>
        </w:rPr>
      </w:pPr>
      <w:r w:rsidRPr="001E1EF2">
        <w:rPr>
          <w:rFonts w:asciiTheme="minorHAnsi" w:hAnsiTheme="minorHAnsi"/>
          <w:sz w:val="28"/>
          <w:szCs w:val="28"/>
        </w:rPr>
        <w:t>Rhetorik der Werbung</w:t>
      </w:r>
      <w:r>
        <w:rPr>
          <w:rFonts w:asciiTheme="minorHAnsi" w:hAnsiTheme="minorHAnsi"/>
          <w:b/>
          <w:bCs/>
        </w:rPr>
        <w:br/>
      </w:r>
      <w:r w:rsidR="00C374A3">
        <w:rPr>
          <w:rFonts w:asciiTheme="minorHAnsi" w:hAnsiTheme="minorHAnsi"/>
          <w:b/>
          <w:bCs/>
        </w:rPr>
        <w:t>Satz</w:t>
      </w:r>
      <w:r w:rsidR="005D2C1C" w:rsidRPr="005D2C1C">
        <w:rPr>
          <w:rFonts w:asciiTheme="minorHAnsi" w:hAnsiTheme="minorHAnsi"/>
          <w:b/>
          <w:bCs/>
        </w:rPr>
        <w:t>bezogene rhetorische Mittel in Werbeslogans</w:t>
      </w:r>
    </w:p>
    <w:p w14:paraId="2CFBB142" w14:textId="77777777" w:rsidR="00C03E9B" w:rsidRPr="00E97A5A" w:rsidRDefault="00C03E9B" w:rsidP="007D56D8">
      <w:pPr>
        <w:rPr>
          <w:sz w:val="16"/>
        </w:rPr>
        <w:sectPr w:rsidR="00C03E9B" w:rsidRPr="00E97A5A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9520A05" w14:textId="79CEA5BA" w:rsidR="006416D8" w:rsidRDefault="006416D8" w:rsidP="000E7323">
      <w:pPr>
        <w:pStyle w:val="StandardWeb"/>
        <w:spacing w:before="360" w:beforeAutospacing="0" w:after="90" w:afterAutospacing="0"/>
        <w:rPr>
          <w:rFonts w:asciiTheme="minorHAnsi" w:hAnsiTheme="minorHAnsi"/>
        </w:rPr>
      </w:pPr>
      <w:r w:rsidRPr="006416D8">
        <w:rPr>
          <w:rFonts w:asciiTheme="minorHAnsi" w:hAnsiTheme="minorHAnsi"/>
        </w:rPr>
        <w:drawing>
          <wp:anchor distT="0" distB="0" distL="114300" distR="114300" simplePos="0" relativeHeight="251658240" behindDoc="0" locked="0" layoutInCell="1" allowOverlap="1" wp14:anchorId="08B3EF28" wp14:editId="6494E6BB">
            <wp:simplePos x="0" y="0"/>
            <wp:positionH relativeFrom="column">
              <wp:posOffset>3268980</wp:posOffset>
            </wp:positionH>
            <wp:positionV relativeFrom="paragraph">
              <wp:posOffset>233045</wp:posOffset>
            </wp:positionV>
            <wp:extent cx="2297430" cy="128079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C0">
        <w:rPr>
          <w:rFonts w:asciiTheme="minorHAnsi" w:hAnsiTheme="minorHAnsi"/>
        </w:rPr>
        <w:t xml:space="preserve">Slogans sind rhetorisch gestaltete Texte. Sie verwenden wort- und satzbezogenene rhetorische Mittel. </w:t>
      </w:r>
    </w:p>
    <w:p w14:paraId="14BC1890" w14:textId="1A623D19" w:rsidR="004C0D12" w:rsidRDefault="005D2C1C" w:rsidP="006416D8">
      <w:pPr>
        <w:pStyle w:val="StandardWeb"/>
        <w:spacing w:before="120" w:beforeAutospacing="0" w:after="90" w:afterAutospacing="0"/>
        <w:rPr>
          <w:rFonts w:asciiTheme="minorHAnsi" w:hAnsiTheme="minorHAnsi"/>
        </w:rPr>
      </w:pPr>
      <w:r w:rsidRPr="005D2C1C">
        <w:rPr>
          <w:rFonts w:asciiTheme="minorHAnsi" w:hAnsiTheme="minorHAnsi"/>
        </w:rPr>
        <w:t xml:space="preserve">Nach Manuela Baumgart (1992, S.52-58) sind die folgenden </w:t>
      </w:r>
      <w:r w:rsidR="006416D8">
        <w:rPr>
          <w:rFonts w:asciiTheme="minorHAnsi" w:hAnsiTheme="minorHAnsi"/>
        </w:rPr>
        <w:t>32</w:t>
      </w:r>
      <w:r w:rsidRPr="005D2C1C">
        <w:rPr>
          <w:rFonts w:asciiTheme="minorHAnsi" w:hAnsiTheme="minorHAnsi"/>
        </w:rPr>
        <w:t xml:space="preserve"> </w:t>
      </w:r>
      <w:r w:rsidR="006416D8">
        <w:rPr>
          <w:rFonts w:asciiTheme="minorHAnsi" w:hAnsiTheme="minorHAnsi"/>
        </w:rPr>
        <w:t>satz</w:t>
      </w:r>
      <w:r w:rsidRPr="005D2C1C">
        <w:rPr>
          <w:rFonts w:asciiTheme="minorHAnsi" w:hAnsiTheme="minorHAnsi"/>
        </w:rPr>
        <w:t>bezogenen rhetorischen Mittel für Slogans typisch:</w:t>
      </w:r>
      <w:bookmarkStart w:id="0" w:name="Fragenkatalog_zur_Analyse_der_Wortwahl"/>
      <w:r w:rsidRPr="005D2C1C">
        <w:rPr>
          <w:rFonts w:asciiTheme="minorHAnsi" w:hAnsiTheme="minorHAnsi"/>
        </w:rPr>
        <w:t xml:space="preserve"> </w:t>
      </w:r>
    </w:p>
    <w:p w14:paraId="1AA96971" w14:textId="2E0B126D" w:rsidR="006416D8" w:rsidRPr="005D2C1C" w:rsidRDefault="006416D8" w:rsidP="006416D8">
      <w:pPr>
        <w:pStyle w:val="StandardWeb"/>
        <w:spacing w:before="120" w:beforeAutospacing="0" w:after="90" w:afterAutospacing="0"/>
        <w:rPr>
          <w:rFonts w:asciiTheme="minorHAnsi" w:hAnsiTheme="minorHAnsi"/>
        </w:rPr>
      </w:pPr>
    </w:p>
    <w:bookmarkEnd w:id="0"/>
    <w:p w14:paraId="5C2DBE80" w14:textId="61F21F1F" w:rsidR="00C374A3" w:rsidRDefault="00C374A3"/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71"/>
        <w:gridCol w:w="3118"/>
        <w:gridCol w:w="5261"/>
      </w:tblGrid>
      <w:tr w:rsidR="00C374A3" w14:paraId="31035653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E85DE47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0AD3F6E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Rhetorisches Mittel</w:t>
            </w:r>
          </w:p>
        </w:tc>
        <w:tc>
          <w:tcPr>
            <w:tcW w:w="52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1673FB2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Beispiele</w:t>
            </w:r>
          </w:p>
        </w:tc>
      </w:tr>
      <w:tr w:rsidR="00C374A3" w14:paraId="4F6A7562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8136CA4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" w:name="1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</w:t>
            </w:r>
            <w:bookmarkEnd w:id="1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C3BBC26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Doppelung </w:t>
            </w:r>
            <w:r w:rsidRPr="00C374A3">
              <w:rPr>
                <w:rFonts w:asciiTheme="majorHAnsi" w:hAnsiTheme="majorHAnsi" w:cs="Arial"/>
                <w:color w:val="000000"/>
                <w:szCs w:val="20"/>
              </w:rPr>
              <w:t>(Gemination)</w:t>
            </w:r>
          </w:p>
          <w:p w14:paraId="2AADDF37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Verdoppelung; unmittelbare Wiederholung eines Satzteiles (Wort oder Wortgruppe)</w:t>
            </w:r>
          </w:p>
        </w:tc>
        <w:tc>
          <w:tcPr>
            <w:tcW w:w="52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B58F98D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69AFB0E9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225FE74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2" w:name="2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2</w:t>
            </w:r>
            <w:bookmarkEnd w:id="2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69F776A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Anspielung (Allusion)</w:t>
            </w:r>
          </w:p>
          <w:p w14:paraId="6EB4FE16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versteckter Hinweis auf einen Zusammenhang, eine Person, die der Adressat kennt; indirekter Vergleich durch implizite oder explizite Anspielung auf Konkurrenzprodukte;</w:t>
            </w:r>
          </w:p>
        </w:tc>
        <w:tc>
          <w:tcPr>
            <w:tcW w:w="52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084975E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181FB9DD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422CA97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3" w:name="3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3</w:t>
            </w:r>
            <w:bookmarkEnd w:id="3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5C2C492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Verdeutlichung</w:t>
            </w:r>
          </w:p>
          <w:p w14:paraId="6BFBD3FA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Wörter, Wortgruppen oder einzelne Lexeme werden in Form einer ergänzenden Beifügung explizit wiederholt (s. auch Doppelung); darüber hinaus auch Formen der direkten Erklärung eines Produkts</w:t>
            </w:r>
          </w:p>
        </w:tc>
        <w:tc>
          <w:tcPr>
            <w:tcW w:w="52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7000DD7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733CF85F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42A1513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4" w:name="4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4</w:t>
            </w:r>
            <w:bookmarkEnd w:id="4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D773FD0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Bekräftigung </w:t>
            </w:r>
          </w:p>
          <w:p w14:paraId="52D7D418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mit Nachdruck versehene Wiederholung wichtiger Textelemente (stets mit Doppelung verbunden);</w:t>
            </w:r>
          </w:p>
        </w:tc>
        <w:tc>
          <w:tcPr>
            <w:tcW w:w="52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CF08C23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069248E7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51156AB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5" w:name="5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5</w:t>
            </w:r>
            <w:bookmarkEnd w:id="5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5367EDE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Steigerung </w:t>
            </w:r>
            <w:r w:rsidRPr="00C374A3">
              <w:rPr>
                <w:rFonts w:asciiTheme="majorHAnsi" w:hAnsiTheme="majorHAnsi" w:cs="Arial"/>
                <w:color w:val="000000"/>
                <w:szCs w:val="20"/>
              </w:rPr>
              <w:t>(Klimax)</w:t>
            </w:r>
          </w:p>
          <w:p w14:paraId="16ADCC97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semantische Aufwertung auf Wortebene mit Hilfe von steigernden Konstruktionen; häufig mit Dreierfigur</w:t>
            </w:r>
          </w:p>
        </w:tc>
        <w:tc>
          <w:tcPr>
            <w:tcW w:w="52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48E6A57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1AAE0431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503695C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6" w:name="6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6</w:t>
            </w:r>
            <w:bookmarkEnd w:id="6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EEDC50A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Übertreibung </w:t>
            </w:r>
            <w:r w:rsidRPr="00C374A3">
              <w:rPr>
                <w:rFonts w:asciiTheme="majorHAnsi" w:hAnsiTheme="majorHAnsi" w:cs="Arial"/>
                <w:color w:val="000000"/>
                <w:szCs w:val="20"/>
              </w:rPr>
              <w:t>(Hyperbel)</w:t>
            </w:r>
          </w:p>
          <w:p w14:paraId="62ACE992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 w:val="15"/>
                <w:szCs w:val="15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semantische Aufwertung auf Wortebene, die bis zur Paradoxie gehen können</w:t>
            </w:r>
          </w:p>
        </w:tc>
        <w:tc>
          <w:tcPr>
            <w:tcW w:w="52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E89772F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673EA541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0E39588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7" w:name="7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7</w:t>
            </w:r>
            <w:bookmarkEnd w:id="7"/>
          </w:p>
        </w:tc>
        <w:tc>
          <w:tcPr>
            <w:tcW w:w="31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5EC520E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Vergleich </w:t>
            </w:r>
            <w:r w:rsidRPr="00C374A3">
              <w:rPr>
                <w:rFonts w:asciiTheme="majorHAnsi" w:hAnsiTheme="majorHAnsi" w:cs="Arial"/>
                <w:color w:val="000000"/>
                <w:szCs w:val="20"/>
              </w:rPr>
              <w:t>(Simile)</w:t>
            </w:r>
          </w:p>
          <w:p w14:paraId="6614C025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Vergleiche, die explizit mit "wie" oder "als" ausgedrückt werden; dienen häufig dazu direkte Gleichsetzungen und Gegenüberstellungen auszudrücken, die an bereits Bekanntes anknüpfen</w:t>
            </w:r>
          </w:p>
        </w:tc>
        <w:tc>
          <w:tcPr>
            <w:tcW w:w="52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51C3C35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</w:tbl>
    <w:p w14:paraId="77396155" w14:textId="77777777" w:rsidR="006416D8" w:rsidRDefault="006416D8"/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75"/>
        <w:gridCol w:w="3119"/>
        <w:gridCol w:w="5256"/>
      </w:tblGrid>
      <w:tr w:rsidR="00C374A3" w14:paraId="2712DB8B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9568CF2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8" w:name="8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8</w:t>
            </w:r>
            <w:bookmarkEnd w:id="8"/>
          </w:p>
        </w:tc>
        <w:tc>
          <w:tcPr>
            <w:tcW w:w="31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86A140E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Sentenz </w:t>
            </w:r>
            <w:r w:rsidRPr="00C374A3">
              <w:rPr>
                <w:rFonts w:asciiTheme="majorHAnsi" w:hAnsiTheme="majorHAnsi" w:cs="Arial"/>
                <w:color w:val="000000"/>
                <w:szCs w:val="20"/>
              </w:rPr>
              <w:t>(Vetustas)</w:t>
            </w:r>
          </w:p>
          <w:p w14:paraId="58902564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Sinn- oder Denkspruch, leicht einprägsamer allgemeiner Satz, der sich an allgemein bekannte, stehende Redewendungen anlehnt; auch möglich als Metaphern auf Satzebene und als festgefügte, bekannte Bilder;</w:t>
            </w:r>
          </w:p>
        </w:tc>
        <w:tc>
          <w:tcPr>
            <w:tcW w:w="52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CF75209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6DE3C1D7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97D26C9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9" w:name="9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9</w:t>
            </w:r>
            <w:bookmarkEnd w:id="9"/>
          </w:p>
        </w:tc>
        <w:tc>
          <w:tcPr>
            <w:tcW w:w="31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145A4D7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Hendiadyoin </w:t>
            </w:r>
          </w:p>
          <w:p w14:paraId="17D1B24F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semantische Überschneidung gleichbedeutender Wörter</w:t>
            </w:r>
          </w:p>
        </w:tc>
        <w:tc>
          <w:tcPr>
            <w:tcW w:w="52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2B2513F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1FBF3CC6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5903AC8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0" w:name="10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10</w:t>
            </w:r>
            <w:bookmarkEnd w:id="10"/>
          </w:p>
        </w:tc>
        <w:tc>
          <w:tcPr>
            <w:tcW w:w="31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92BF73B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Tautologie </w:t>
            </w:r>
          </w:p>
          <w:p w14:paraId="46B84D7A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lexikalische oder semantische Deckungsgleichheit einzelner Wörter; dient zur Abgrenzung und Alleinstellung des eigenen Werbeobjekts, ohne dabei einen direkten oder indirekten Vergleich anzustellen oder eine explizite Wertung vorzunehmen</w:t>
            </w:r>
          </w:p>
        </w:tc>
        <w:tc>
          <w:tcPr>
            <w:tcW w:w="52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7812042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675009C0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68B45A2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1" w:name="11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11</w:t>
            </w:r>
            <w:bookmarkEnd w:id="11"/>
          </w:p>
        </w:tc>
        <w:tc>
          <w:tcPr>
            <w:tcW w:w="31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7FB1931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Litotes</w:t>
            </w:r>
          </w:p>
          <w:p w14:paraId="67022F43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Steigerung des Gemeinten durch die Negation des Gegenteils (verneinter Gegenbegriff); häufig untertreibende Ausdrucksweise (Understatement): statt Superlativ oder Elativ wird Verneinung des Gegenteils benutzt; auch als doppelte Verneinung</w:t>
            </w:r>
          </w:p>
        </w:tc>
        <w:tc>
          <w:tcPr>
            <w:tcW w:w="52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9DBFB99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1BD1D4DA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492FD8B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2" w:name="12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12</w:t>
            </w:r>
            <w:bookmarkEnd w:id="12"/>
          </w:p>
        </w:tc>
        <w:tc>
          <w:tcPr>
            <w:tcW w:w="31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6157B77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Paradoxon </w:t>
            </w:r>
          </w:p>
          <w:p w14:paraId="512E4006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Aussagen, die in sich widersprüchlich sind oder unmöglich sind; entstehen durch Gegenüberstellung von eigentlich Unvereinbarem und Gegenläufigem</w:t>
            </w:r>
          </w:p>
        </w:tc>
        <w:tc>
          <w:tcPr>
            <w:tcW w:w="52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65AFE11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293794B8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BDF80A4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3" w:name="13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13</w:t>
            </w:r>
            <w:bookmarkEnd w:id="13"/>
          </w:p>
        </w:tc>
        <w:tc>
          <w:tcPr>
            <w:tcW w:w="31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856FE6D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Wortspiel </w:t>
            </w:r>
            <w:r w:rsidRPr="00C374A3">
              <w:rPr>
                <w:rFonts w:asciiTheme="majorHAnsi" w:hAnsiTheme="majorHAnsi" w:cs="Arial"/>
                <w:color w:val="000000"/>
                <w:szCs w:val="20"/>
              </w:rPr>
              <w:t>(Ambiguität)</w:t>
            </w: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 </w:t>
            </w:r>
          </w:p>
          <w:p w14:paraId="2C6B7630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Zusammenstellung klangähnlicher, aber bedeutungsverschiedener Wörter, die eine Doppel- oder Mehrdeutigkeit ergeben</w:t>
            </w:r>
            <w:r w:rsidRPr="00C374A3">
              <w:rPr>
                <w:rFonts w:asciiTheme="majorHAnsi" w:hAnsiTheme="majorHAnsi" w:cs="Arial"/>
                <w:color w:val="000000"/>
                <w:szCs w:val="20"/>
              </w:rPr>
              <w:t>;</w:t>
            </w:r>
          </w:p>
        </w:tc>
        <w:tc>
          <w:tcPr>
            <w:tcW w:w="52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1A1DA11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3E9B20E6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45128D0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4" w:name="14"/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14</w:t>
            </w:r>
            <w:bookmarkEnd w:id="14"/>
          </w:p>
        </w:tc>
        <w:tc>
          <w:tcPr>
            <w:tcW w:w="31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897A8D3" w14:textId="77777777" w:rsidR="00C374A3" w:rsidRPr="00C374A3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Negation </w:t>
            </w:r>
          </w:p>
          <w:p w14:paraId="7D348AC1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 w:val="18"/>
                <w:szCs w:val="18"/>
              </w:rPr>
              <w:t>verneinende Aussagen; gilt aber häufig als Auslöser negativer Emotionen, die unabhängig von der Tatsache, dass etwas Positives gemeint ist, unterbewusst den negativen Beiklang mitspeichert;</w:t>
            </w:r>
          </w:p>
        </w:tc>
        <w:tc>
          <w:tcPr>
            <w:tcW w:w="52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3BC01BA" w14:textId="77777777" w:rsidR="00C374A3" w:rsidRPr="00C374A3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C374A3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6416D8" w14:paraId="71E9AD90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D88767F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5" w:name="15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15</w:t>
            </w:r>
            <w:bookmarkEnd w:id="15"/>
          </w:p>
        </w:tc>
        <w:tc>
          <w:tcPr>
            <w:tcW w:w="31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736D27B" w14:textId="77777777" w:rsidR="006416D8" w:rsidRPr="006416D8" w:rsidRDefault="006416D8" w:rsidP="00D41714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Asyndeton </w:t>
            </w:r>
          </w:p>
          <w:p w14:paraId="6D35AB8C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Aneinanderreihung gleichgeordneter Wörter, Wortgruppen, Satzteile oder Sätze, die nicht mit Konjunktionen (Verknüpfungswörter) miteinander verbunden sind; sollte zur Unterscheidung vom Satzbruch (Anakoluth) mindestens drei syntaktisch voneinander getrennte Elemente umfassen</w:t>
            </w:r>
          </w:p>
        </w:tc>
        <w:tc>
          <w:tcPr>
            <w:tcW w:w="52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F030528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</w:tbl>
    <w:p w14:paraId="6049F9B6" w14:textId="3F647EB5" w:rsidR="00C374A3" w:rsidRDefault="00C374A3" w:rsidP="00C374A3">
      <w:pPr>
        <w:rPr>
          <w:rFonts w:ascii="Verdana" w:hAnsi="Verdana" w:cs="Times New Roman"/>
        </w:rPr>
      </w:pPr>
    </w:p>
    <w:p w14:paraId="0D5DB961" w14:textId="5F9D669F" w:rsidR="006416D8" w:rsidRDefault="006416D8" w:rsidP="00C374A3">
      <w:pPr>
        <w:rPr>
          <w:rFonts w:ascii="Verdana" w:hAnsi="Verdana" w:cs="Times New Roman"/>
        </w:rPr>
      </w:pPr>
    </w:p>
    <w:p w14:paraId="3476DE4B" w14:textId="77777777" w:rsidR="006416D8" w:rsidRDefault="006416D8" w:rsidP="00C374A3">
      <w:pPr>
        <w:rPr>
          <w:rFonts w:ascii="Verdana" w:hAnsi="Verdana" w:cs="Times New Roman"/>
        </w:rPr>
      </w:pP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75"/>
        <w:gridCol w:w="3121"/>
        <w:gridCol w:w="5254"/>
      </w:tblGrid>
      <w:tr w:rsidR="00C374A3" w14:paraId="0FB6E1F1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8EC6625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6" w:name="16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16</w:t>
            </w:r>
            <w:bookmarkEnd w:id="16"/>
          </w:p>
        </w:tc>
        <w:tc>
          <w:tcPr>
            <w:tcW w:w="31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0177070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Antithese </w:t>
            </w:r>
            <w:r w:rsidRPr="006416D8">
              <w:rPr>
                <w:rFonts w:asciiTheme="majorHAnsi" w:hAnsiTheme="majorHAnsi" w:cs="Arial"/>
                <w:color w:val="000000"/>
                <w:szCs w:val="20"/>
              </w:rPr>
              <w:t>(Antitheton)</w:t>
            </w: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 </w:t>
            </w:r>
          </w:p>
          <w:p w14:paraId="1E4127BF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Entgegenstellung von Begriffen und Gedanken; kontrastiver Bezug</w:t>
            </w:r>
          </w:p>
        </w:tc>
        <w:tc>
          <w:tcPr>
            <w:tcW w:w="52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49E8090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49902D03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60694EB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7" w:name="17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17</w:t>
            </w:r>
            <w:bookmarkEnd w:id="17"/>
          </w:p>
        </w:tc>
        <w:tc>
          <w:tcPr>
            <w:tcW w:w="31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58BE850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Explizite Ellipse </w:t>
            </w:r>
          </w:p>
          <w:p w14:paraId="135C4977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verkürzte Satzkonstruktion durch Auslassung eines Wortes oder Satzteiles; kann als Kurzsatz aus dem Sinnkontext verstanden werden; da elliptische Konstruktionen wegen dessen Tendenz zur Kürze quasi sloganimmanent sind, gelten als explizite Ellipsen solche satzverkürzenden Konstruktionen, die ausdrücklich mit (in der Regel drei) Auslassungspunkten gekennzeichnet sind;</w:t>
            </w:r>
          </w:p>
        </w:tc>
        <w:tc>
          <w:tcPr>
            <w:tcW w:w="52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67B0C35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56646BD5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B1BAB2D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8" w:name="18_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18 </w:t>
            </w:r>
            <w:bookmarkEnd w:id="18"/>
          </w:p>
        </w:tc>
        <w:tc>
          <w:tcPr>
            <w:tcW w:w="31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F82A415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Zweierfigur</w:t>
            </w:r>
          </w:p>
          <w:p w14:paraId="41DD7F16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Slogans, die aus zwei Gliedern bestehen, die syntaktisch gegeneinander abgegrenzt sind und einander gegenübergestellt werden; besitzt den Charakter einer mathematischen Gleichung (Antonomasie);  Markennamen, der nicht in einem eingliedrigen Slogan untergebracht sind, werden nicht als zweites Glied angesehen;</w:t>
            </w:r>
          </w:p>
        </w:tc>
        <w:tc>
          <w:tcPr>
            <w:tcW w:w="52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9615771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54FD52E8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589A5CA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19" w:name="18.1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18.1</w:t>
            </w:r>
            <w:bookmarkEnd w:id="19"/>
          </w:p>
        </w:tc>
        <w:tc>
          <w:tcPr>
            <w:tcW w:w="31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CAA274C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Enthymem </w:t>
            </w:r>
          </w:p>
          <w:p w14:paraId="56B2848C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Argumentationsfigur des dreigliedrigen Syllogismus, bei der eine, gelegentlich sogar zwei der drei Schritte ausgelassen werden;</w:t>
            </w:r>
          </w:p>
        </w:tc>
        <w:tc>
          <w:tcPr>
            <w:tcW w:w="52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993C51B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1370EA43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5626DAB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20" w:name="19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19</w:t>
            </w:r>
            <w:bookmarkEnd w:id="20"/>
          </w:p>
        </w:tc>
        <w:tc>
          <w:tcPr>
            <w:tcW w:w="31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C15F55C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Dreierfigur </w:t>
            </w:r>
          </w:p>
          <w:p w14:paraId="7172CC1F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Slogan aus drei syntaktisch abgegrenzten Elementen; Dreierfiguren, deren Glieder zunehmen, abnehmen, gleich bleiben.</w:t>
            </w:r>
          </w:p>
        </w:tc>
        <w:tc>
          <w:tcPr>
            <w:tcW w:w="52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C0DAB49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6416D8" w14:paraId="0AF4BAE9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DAF0247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21" w:name="20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20</w:t>
            </w:r>
            <w:bookmarkEnd w:id="21"/>
          </w:p>
        </w:tc>
        <w:tc>
          <w:tcPr>
            <w:tcW w:w="31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DF740EC" w14:textId="77777777" w:rsidR="006416D8" w:rsidRPr="006416D8" w:rsidRDefault="006416D8" w:rsidP="00D41714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Kreuzstellung </w:t>
            </w:r>
            <w:r w:rsidRPr="006416D8">
              <w:rPr>
                <w:rFonts w:asciiTheme="majorHAnsi" w:hAnsiTheme="majorHAnsi" w:cs="Arial"/>
                <w:color w:val="000000"/>
                <w:szCs w:val="20"/>
              </w:rPr>
              <w:t>(Chiasmus)</w:t>
            </w: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 </w:t>
            </w:r>
          </w:p>
          <w:p w14:paraId="2182837D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Überkreuzstellung von syntaktisch oder semantisch einander entsprechenden Satzgliedern; häufig auch dadurch Schaffung einer rhythmischen Struktur;</w:t>
            </w:r>
          </w:p>
        </w:tc>
        <w:tc>
          <w:tcPr>
            <w:tcW w:w="52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6FB1F83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6416D8" w14:paraId="4FC6C03D" w14:textId="77777777" w:rsidTr="006416D8">
        <w:tc>
          <w:tcPr>
            <w:tcW w:w="6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9B339B5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22" w:name="21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21</w:t>
            </w:r>
            <w:bookmarkEnd w:id="22"/>
          </w:p>
        </w:tc>
        <w:tc>
          <w:tcPr>
            <w:tcW w:w="31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BB9D662" w14:textId="77777777" w:rsidR="006416D8" w:rsidRPr="006416D8" w:rsidRDefault="006416D8" w:rsidP="00D41714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Allgemeine Behauptung </w:t>
            </w:r>
          </w:p>
          <w:p w14:paraId="43622A38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wie Ellipse und Übertreibung quasi sloganimmanentes Mittel, da stets eine produktbezogene Behauptung vorhanden ist; Tendenz vieler Slogans, Behauptungen aufzustellen, die nicht in einem vordergründig engen Zusammenhang zum Werbeobjekt stehen, sondern sich auf den Verwender des Produkts beziehen</w:t>
            </w:r>
          </w:p>
        </w:tc>
        <w:tc>
          <w:tcPr>
            <w:tcW w:w="52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7FA7E29" w14:textId="77777777" w:rsidR="006416D8" w:rsidRPr="006416D8" w:rsidRDefault="006416D8" w:rsidP="00D41714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</w:tbl>
    <w:p w14:paraId="3666FCAF" w14:textId="27F89779" w:rsidR="006416D8" w:rsidRDefault="006416D8"/>
    <w:p w14:paraId="06D7C4E4" w14:textId="77777777" w:rsidR="006416D8" w:rsidRDefault="006416D8"/>
    <w:p w14:paraId="6DD7BE8A" w14:textId="67E3F144" w:rsidR="00C374A3" w:rsidRDefault="00C374A3" w:rsidP="00C374A3">
      <w:pPr>
        <w:rPr>
          <w:rFonts w:ascii="Verdana" w:hAnsi="Verdana" w:cs="Times New Roman"/>
        </w:rPr>
      </w:pPr>
    </w:p>
    <w:p w14:paraId="2EABBC69" w14:textId="77777777" w:rsidR="006416D8" w:rsidRDefault="006416D8" w:rsidP="00C374A3">
      <w:pPr>
        <w:rPr>
          <w:rFonts w:ascii="Verdana" w:hAnsi="Verdana" w:cs="Times New Roman"/>
        </w:rPr>
      </w:pP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72"/>
        <w:gridCol w:w="3123"/>
        <w:gridCol w:w="5255"/>
      </w:tblGrid>
      <w:tr w:rsidR="00C374A3" w14:paraId="3D2776E0" w14:textId="77777777" w:rsidTr="006416D8">
        <w:tc>
          <w:tcPr>
            <w:tcW w:w="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56025B8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23" w:name="22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22</w:t>
            </w:r>
            <w:bookmarkEnd w:id="23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493B3DF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Emphase </w:t>
            </w:r>
          </w:p>
          <w:p w14:paraId="41685C69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Abweichung vom normalen Satzbau (Satzgliedverstellung), Inversion oder Einsatz von Ausrufezeichen;</w:t>
            </w:r>
          </w:p>
        </w:tc>
        <w:tc>
          <w:tcPr>
            <w:tcW w:w="52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BADFF49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0A6EF473" w14:textId="77777777" w:rsidTr="006416D8">
        <w:tc>
          <w:tcPr>
            <w:tcW w:w="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E0843AC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24" w:name="23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23</w:t>
            </w:r>
            <w:bookmarkEnd w:id="24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E18DE3A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Satzbruch </w:t>
            </w:r>
            <w:r w:rsidRPr="006416D8">
              <w:rPr>
                <w:rFonts w:asciiTheme="majorHAnsi" w:hAnsiTheme="majorHAnsi" w:cs="Arial"/>
                <w:color w:val="000000"/>
                <w:szCs w:val="20"/>
              </w:rPr>
              <w:t>(Anakoluth)</w:t>
            </w:r>
          </w:p>
          <w:p w14:paraId="6B120825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Störung des Satzbaus, der grammatisch nicht folgerichtig aufgebaut ist; dient als rhetorisches Mittel zur Nachahmung einer sozial oder emotional bestimmten Redeweise; zur Abgrenzung von Asyndeton und Zweierfigur in Slogans als außergewöhnliche, ungrammatische Satzordnung zu verstehen; willkürliche Trennung zusammengehöriger Satzglieder durch Inversion und/oder Interpunktion; vollständige Sätze mit syntaktischer Zäsur</w:t>
            </w:r>
          </w:p>
        </w:tc>
        <w:tc>
          <w:tcPr>
            <w:tcW w:w="52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DCF72AC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1483273E" w14:textId="77777777" w:rsidTr="006416D8">
        <w:tc>
          <w:tcPr>
            <w:tcW w:w="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DA48996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25" w:name="24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24</w:t>
            </w:r>
            <w:bookmarkEnd w:id="25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C3F26F9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Rhetorische Frage</w:t>
            </w:r>
          </w:p>
          <w:p w14:paraId="6DC6CC03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unter inhaltlichem Aspekt: Scheinfrage; Frage soll eigentlich gar nicht beantwortet werden; Verstärkung dieser Intention häufig noch durch das fehlende Fragezeichen</w:t>
            </w:r>
          </w:p>
        </w:tc>
        <w:tc>
          <w:tcPr>
            <w:tcW w:w="52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E8D79B6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C374A3" w14:paraId="19B8E45D" w14:textId="77777777" w:rsidTr="006416D8">
        <w:tc>
          <w:tcPr>
            <w:tcW w:w="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6852D33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bookmarkStart w:id="26" w:name="25"/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25</w:t>
            </w:r>
            <w:bookmarkEnd w:id="26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E23AF6E" w14:textId="77777777" w:rsidR="00C374A3" w:rsidRPr="006416D8" w:rsidRDefault="00C374A3">
            <w:pPr>
              <w:spacing w:after="60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Anruf </w:t>
            </w:r>
            <w:r w:rsidRPr="006416D8">
              <w:rPr>
                <w:rFonts w:asciiTheme="majorHAnsi" w:hAnsiTheme="majorHAnsi" w:cs="Arial"/>
                <w:color w:val="000000"/>
                <w:szCs w:val="20"/>
              </w:rPr>
              <w:t>(Anrede)</w:t>
            </w:r>
            <w:r w:rsidRPr="006416D8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 xml:space="preserve"> </w:t>
            </w:r>
          </w:p>
          <w:p w14:paraId="7A0DE7BF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 w:val="18"/>
                <w:szCs w:val="18"/>
              </w:rPr>
              <w:t>direkte Anrede des möglichen Konsumenten soll den Anschein einer persönlichen Beziehung zwischen (Kommunikations-)Partner erzeugen;</w:t>
            </w:r>
          </w:p>
        </w:tc>
        <w:tc>
          <w:tcPr>
            <w:tcW w:w="52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28093F6" w14:textId="77777777" w:rsidR="00C374A3" w:rsidRPr="006416D8" w:rsidRDefault="00C374A3">
            <w:pPr>
              <w:rPr>
                <w:rFonts w:asciiTheme="majorHAnsi" w:hAnsiTheme="majorHAnsi" w:cs="Arial"/>
                <w:color w:val="000000"/>
                <w:szCs w:val="20"/>
              </w:rPr>
            </w:pPr>
            <w:r w:rsidRPr="006416D8">
              <w:rPr>
                <w:rFonts w:asciiTheme="majorHAnsi" w:hAnsiTheme="majorHAnsi" w:cs="Arial"/>
                <w:color w:val="000000"/>
                <w:szCs w:val="20"/>
              </w:rPr>
              <w:t> </w:t>
            </w:r>
          </w:p>
        </w:tc>
      </w:tr>
      <w:tr w:rsidR="006416D8" w14:paraId="55615C00" w14:textId="77777777" w:rsidTr="006416D8">
        <w:tc>
          <w:tcPr>
            <w:tcW w:w="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B665C8D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bookmarkStart w:id="27" w:name="26"/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26</w:t>
            </w:r>
            <w:bookmarkEnd w:id="27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0F94E55" w14:textId="77777777" w:rsidR="006416D8" w:rsidRPr="006416D8" w:rsidRDefault="006416D8" w:rsidP="00D41714">
            <w:pPr>
              <w:spacing w:after="60"/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Befehl </w:t>
            </w:r>
            <w:r w:rsidRPr="006416D8">
              <w:rPr>
                <w:rFonts w:ascii="Calibri" w:hAnsi="Calibri" w:cs="Arial"/>
                <w:color w:val="000000"/>
                <w:szCs w:val="20"/>
              </w:rPr>
              <w:t>(Imperativ/Dictum)</w:t>
            </w:r>
          </w:p>
          <w:p w14:paraId="273F0D2A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 w:val="18"/>
                <w:szCs w:val="18"/>
              </w:rPr>
              <w:t>zu imperativischen Formen zählen auch imperativische Empfehlungen und unpersönliche Infinitivkonstrukte</w:t>
            </w:r>
          </w:p>
        </w:tc>
        <w:tc>
          <w:tcPr>
            <w:tcW w:w="52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8E8C885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Cs w:val="20"/>
              </w:rPr>
              <w:t> </w:t>
            </w:r>
          </w:p>
        </w:tc>
      </w:tr>
      <w:tr w:rsidR="006416D8" w14:paraId="46A9DC5A" w14:textId="77777777" w:rsidTr="006416D8">
        <w:tc>
          <w:tcPr>
            <w:tcW w:w="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31342FF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bookmarkStart w:id="28" w:name="27"/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27</w:t>
            </w:r>
            <w:bookmarkEnd w:id="28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4FDDFB1" w14:textId="77777777" w:rsidR="006416D8" w:rsidRPr="006416D8" w:rsidRDefault="006416D8" w:rsidP="00D41714">
            <w:pPr>
              <w:spacing w:after="60"/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Bescheidenheit </w:t>
            </w:r>
            <w:r w:rsidRPr="006416D8">
              <w:rPr>
                <w:rFonts w:ascii="Calibri" w:hAnsi="Calibri" w:cs="Arial"/>
                <w:color w:val="000000"/>
                <w:szCs w:val="20"/>
              </w:rPr>
              <w:t xml:space="preserve">(Humilitas) </w:t>
            </w:r>
          </w:p>
          <w:p w14:paraId="7A7B65D5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 w:val="18"/>
                <w:szCs w:val="18"/>
              </w:rPr>
              <w:t>antiquierte Form aus der Rhetorik; durch selbst auferlegte Demut wird der Umworbene emporgehoben und wird ihm zugleich geschmeichelt; in aktueller Werbung als Trend zum Understatement wieder aktuell</w:t>
            </w:r>
          </w:p>
        </w:tc>
        <w:tc>
          <w:tcPr>
            <w:tcW w:w="52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AFEA918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Cs w:val="20"/>
              </w:rPr>
              <w:t> </w:t>
            </w:r>
          </w:p>
        </w:tc>
      </w:tr>
      <w:tr w:rsidR="006416D8" w14:paraId="51D5ED8E" w14:textId="77777777" w:rsidTr="006416D8">
        <w:tc>
          <w:tcPr>
            <w:tcW w:w="6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D77526A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bookmarkStart w:id="29" w:name="28"/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28</w:t>
            </w:r>
            <w:bookmarkEnd w:id="29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5A1B806" w14:textId="77777777" w:rsidR="006416D8" w:rsidRPr="006416D8" w:rsidRDefault="006416D8" w:rsidP="00D41714">
            <w:pPr>
              <w:spacing w:after="60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Anheimstellung </w:t>
            </w:r>
          </w:p>
          <w:p w14:paraId="081DA06A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 w:val="18"/>
                <w:szCs w:val="18"/>
              </w:rPr>
              <w:t>explizite Eröffnung einer Möglichkeit, die dem potentiellen Konsumenten Entscheidungsfreiheit einräumt und damit dessen Wunsch nach Selbstbestimmung befriedigt; auch wenn in eine bestimmte</w:t>
            </w:r>
            <w:r w:rsidRPr="006416D8">
              <w:rPr>
                <w:rFonts w:ascii="Calibri" w:hAnsi="Calibri" w:cs="Arial"/>
                <w:color w:val="000000"/>
                <w:szCs w:val="20"/>
              </w:rPr>
              <w:t xml:space="preserve"> </w:t>
            </w:r>
            <w:r w:rsidRPr="006416D8">
              <w:rPr>
                <w:rFonts w:ascii="Calibri" w:hAnsi="Calibri" w:cs="Arial"/>
                <w:color w:val="000000"/>
                <w:sz w:val="18"/>
                <w:szCs w:val="18"/>
              </w:rPr>
              <w:t>Richtung gesteuert wird, glaubt der Konsument doch an seine freie Wahl</w:t>
            </w:r>
          </w:p>
        </w:tc>
        <w:tc>
          <w:tcPr>
            <w:tcW w:w="52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39FBB00" w14:textId="77777777" w:rsidR="006416D8" w:rsidRPr="006416D8" w:rsidRDefault="006416D8" w:rsidP="00D41714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Cs w:val="20"/>
              </w:rPr>
              <w:t> </w:t>
            </w:r>
          </w:p>
        </w:tc>
      </w:tr>
    </w:tbl>
    <w:p w14:paraId="651D8CC4" w14:textId="5343AF92" w:rsidR="00C374A3" w:rsidRDefault="00C374A3" w:rsidP="00C374A3">
      <w:pPr>
        <w:rPr>
          <w:rFonts w:ascii="Verdana" w:hAnsi="Verdana" w:cs="Times New Roman"/>
        </w:rPr>
      </w:pPr>
    </w:p>
    <w:p w14:paraId="66B363D4" w14:textId="0B09BC85" w:rsidR="006416D8" w:rsidRDefault="006416D8" w:rsidP="00C374A3">
      <w:pPr>
        <w:rPr>
          <w:rFonts w:ascii="Verdana" w:hAnsi="Verdana" w:cs="Times New Roman"/>
        </w:rPr>
      </w:pPr>
    </w:p>
    <w:p w14:paraId="0F920180" w14:textId="0B84DDE5" w:rsidR="006416D8" w:rsidRDefault="006416D8" w:rsidP="00C374A3">
      <w:pPr>
        <w:rPr>
          <w:rFonts w:ascii="Verdana" w:hAnsi="Verdana" w:cs="Times New Roman"/>
        </w:rPr>
      </w:pPr>
    </w:p>
    <w:p w14:paraId="0341608E" w14:textId="1026ED14" w:rsidR="006416D8" w:rsidRDefault="006416D8" w:rsidP="00C374A3">
      <w:pPr>
        <w:rPr>
          <w:rFonts w:ascii="Verdana" w:hAnsi="Verdana" w:cs="Times New Roman"/>
        </w:rPr>
      </w:pPr>
    </w:p>
    <w:p w14:paraId="4061DDB9" w14:textId="77777777" w:rsidR="006416D8" w:rsidRDefault="006416D8" w:rsidP="00C374A3">
      <w:pPr>
        <w:rPr>
          <w:rFonts w:ascii="Verdana" w:hAnsi="Verdana" w:cs="Times New Roman"/>
        </w:rPr>
      </w:pPr>
      <w:bookmarkStart w:id="30" w:name="_GoBack"/>
      <w:bookmarkEnd w:id="30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71"/>
        <w:gridCol w:w="3123"/>
        <w:gridCol w:w="5256"/>
      </w:tblGrid>
      <w:tr w:rsidR="00C374A3" w14:paraId="77443C9A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5F1054F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bookmarkStart w:id="31" w:name="29"/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29</w:t>
            </w:r>
            <w:bookmarkEnd w:id="31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A657F11" w14:textId="77777777" w:rsidR="00C374A3" w:rsidRPr="006416D8" w:rsidRDefault="00C374A3">
            <w:pPr>
              <w:spacing w:after="60"/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Personifizierung </w:t>
            </w:r>
            <w:r w:rsidRPr="006416D8">
              <w:rPr>
                <w:rFonts w:ascii="Calibri" w:hAnsi="Calibri" w:cs="Arial"/>
                <w:color w:val="000000"/>
                <w:szCs w:val="20"/>
              </w:rPr>
              <w:t>(Personifikation)</w:t>
            </w:r>
          </w:p>
          <w:p w14:paraId="42C88113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 w:val="18"/>
                <w:szCs w:val="18"/>
              </w:rPr>
              <w:t>Vermenschlichung einer Ware soll die Gefühle des Rezipienten ansprechen; häufig: vermenschlichende Adjektive oder Verben, die die Waren zu aktiv handelnden Subjekten machen;</w:t>
            </w:r>
          </w:p>
        </w:tc>
        <w:tc>
          <w:tcPr>
            <w:tcW w:w="52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10C7DD6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Cs w:val="20"/>
              </w:rPr>
              <w:t> </w:t>
            </w:r>
          </w:p>
        </w:tc>
      </w:tr>
      <w:tr w:rsidR="00C374A3" w14:paraId="4EC6AD4A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FD5D330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bookmarkStart w:id="32" w:name="30"/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30</w:t>
            </w:r>
            <w:bookmarkEnd w:id="32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9139A01" w14:textId="77777777" w:rsidR="00C374A3" w:rsidRPr="006416D8" w:rsidRDefault="00C374A3">
            <w:pPr>
              <w:spacing w:after="60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Zugeständnis</w:t>
            </w:r>
          </w:p>
          <w:p w14:paraId="2007C95E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 w:val="18"/>
                <w:szCs w:val="18"/>
              </w:rPr>
              <w:t>schmeichelt man dem möglichen Konsumenten hier mit dem Eingestehen eines Scheinfehlers;</w:t>
            </w:r>
          </w:p>
        </w:tc>
        <w:tc>
          <w:tcPr>
            <w:tcW w:w="52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5C4ED0B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Cs w:val="20"/>
              </w:rPr>
              <w:t> </w:t>
            </w:r>
          </w:p>
        </w:tc>
      </w:tr>
      <w:tr w:rsidR="00C374A3" w14:paraId="0FF5F495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6F2D81C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bookmarkStart w:id="33" w:name="31"/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31</w:t>
            </w:r>
            <w:bookmarkEnd w:id="33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D59770D" w14:textId="77777777" w:rsidR="00C374A3" w:rsidRPr="006416D8" w:rsidRDefault="00C374A3">
            <w:pPr>
              <w:spacing w:after="60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Reim</w:t>
            </w:r>
          </w:p>
          <w:p w14:paraId="0C38EF23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 w:val="18"/>
                <w:szCs w:val="18"/>
              </w:rPr>
              <w:t>Gleichklang eines Verses in der Lyrik; gebundene und rhythmisierte Sprache zur besseren Einprägung von Werbebotschaften durch den Rezipienten; verwendet werden u. a.: Endreim, unreiner Endreim, Stabreim/Alliteration, Binnenreim und Assonanzen, Schüttelreim</w:t>
            </w:r>
          </w:p>
        </w:tc>
        <w:tc>
          <w:tcPr>
            <w:tcW w:w="52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F3ADB24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Cs w:val="20"/>
              </w:rPr>
              <w:t> </w:t>
            </w:r>
          </w:p>
        </w:tc>
      </w:tr>
      <w:tr w:rsidR="00C374A3" w14:paraId="3C9DDEA8" w14:textId="77777777" w:rsidTr="006416D8">
        <w:tc>
          <w:tcPr>
            <w:tcW w:w="6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9B4BF62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bookmarkStart w:id="34" w:name="32"/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>32</w:t>
            </w:r>
            <w:bookmarkEnd w:id="34"/>
          </w:p>
        </w:tc>
        <w:tc>
          <w:tcPr>
            <w:tcW w:w="31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61F08D6" w14:textId="77777777" w:rsidR="00C374A3" w:rsidRPr="006416D8" w:rsidRDefault="00C374A3">
            <w:pPr>
              <w:spacing w:after="60"/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Bezeugung </w:t>
            </w:r>
            <w:r w:rsidRPr="006416D8">
              <w:rPr>
                <w:rFonts w:ascii="Calibri" w:hAnsi="Calibri" w:cs="Arial"/>
                <w:color w:val="000000"/>
                <w:szCs w:val="20"/>
              </w:rPr>
              <w:t>(Testimonium)</w:t>
            </w:r>
          </w:p>
          <w:p w14:paraId="7FA2EBB4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 w:val="18"/>
                <w:szCs w:val="18"/>
              </w:rPr>
              <w:t>vermeintliche Kundenaussagen, als Sekundärsender eingesetzt werden; meist in der 1. Person Singular, seltener 1. Pers. Pl.;</w:t>
            </w:r>
          </w:p>
        </w:tc>
        <w:tc>
          <w:tcPr>
            <w:tcW w:w="52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8396329" w14:textId="77777777" w:rsidR="00C374A3" w:rsidRPr="006416D8" w:rsidRDefault="00C374A3">
            <w:pPr>
              <w:rPr>
                <w:rFonts w:ascii="Calibri" w:hAnsi="Calibri" w:cs="Arial"/>
                <w:color w:val="000000"/>
                <w:szCs w:val="20"/>
              </w:rPr>
            </w:pPr>
            <w:r w:rsidRPr="006416D8">
              <w:rPr>
                <w:rFonts w:ascii="Calibri" w:hAnsi="Calibri" w:cs="Arial"/>
                <w:color w:val="000000"/>
                <w:szCs w:val="20"/>
              </w:rPr>
              <w:t> </w:t>
            </w:r>
          </w:p>
        </w:tc>
      </w:tr>
    </w:tbl>
    <w:p w14:paraId="20A0D450" w14:textId="77777777" w:rsidR="00C374A3" w:rsidRDefault="00C374A3"/>
    <w:p w14:paraId="07BC8EB0" w14:textId="6429B9D9" w:rsidR="00E97A5A" w:rsidRPr="00B01BC0" w:rsidRDefault="00B01BC0" w:rsidP="004C0D12">
      <w:pPr>
        <w:pStyle w:val="StandardWeb"/>
        <w:spacing w:before="90" w:beforeAutospacing="0" w:after="90" w:afterAutospacing="0"/>
        <w:rPr>
          <w:rFonts w:asciiTheme="majorHAnsi" w:hAnsiTheme="majorHAnsi"/>
          <w:sz w:val="22"/>
          <w:szCs w:val="22"/>
        </w:rPr>
      </w:pPr>
      <w:r w:rsidRPr="00B01BC0">
        <w:rPr>
          <w:rFonts w:asciiTheme="majorHAnsi" w:hAnsiTheme="majorHAnsi"/>
          <w:sz w:val="22"/>
          <w:szCs w:val="22"/>
        </w:rPr>
        <w:t>(</w:t>
      </w:r>
      <w:r w:rsidR="005D2C1C" w:rsidRPr="00B01BC0">
        <w:rPr>
          <w:rFonts w:asciiTheme="majorHAnsi" w:hAnsiTheme="majorHAnsi"/>
          <w:sz w:val="22"/>
          <w:szCs w:val="22"/>
        </w:rPr>
        <w:t>Baumgart, Manuela: Die Sprache der Anzeigenwerbung, Konsum und Verhalten, Vol.37, Heidelberg 1992, S. 52-67</w:t>
      </w:r>
      <w:r w:rsidRPr="00B01BC0">
        <w:rPr>
          <w:rFonts w:asciiTheme="majorHAnsi" w:hAnsiTheme="majorHAnsi"/>
          <w:sz w:val="22"/>
          <w:szCs w:val="22"/>
        </w:rPr>
        <w:t>)</w:t>
      </w:r>
    </w:p>
    <w:p w14:paraId="30A40EB5" w14:textId="6DA4BC7B" w:rsidR="005D2C1C" w:rsidRPr="005D2C1C" w:rsidRDefault="005D2C1C" w:rsidP="001E1EF2">
      <w:pPr>
        <w:pStyle w:val="StandardWeb"/>
        <w:spacing w:before="120" w:beforeAutospacing="0" w:after="120" w:afterAutospacing="0"/>
        <w:rPr>
          <w:rFonts w:asciiTheme="majorHAnsi" w:hAnsiTheme="majorHAnsi"/>
          <w:b/>
          <w:bCs/>
          <w:sz w:val="22"/>
          <w:szCs w:val="22"/>
        </w:rPr>
      </w:pPr>
      <w:r w:rsidRPr="005D2C1C">
        <w:rPr>
          <w:rFonts w:asciiTheme="majorHAnsi" w:hAnsiTheme="majorHAnsi"/>
          <w:b/>
          <w:bCs/>
          <w:sz w:val="22"/>
          <w:szCs w:val="22"/>
        </w:rPr>
        <w:t>Arbeitsanregungen:</w:t>
      </w:r>
    </w:p>
    <w:p w14:paraId="63DFA7ED" w14:textId="681F4430" w:rsidR="005D2C1C" w:rsidRPr="00B01BC0" w:rsidRDefault="005D2C1C" w:rsidP="00B01BC0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 xml:space="preserve">Sammeln Sie aktuelle Slogans aus </w:t>
      </w:r>
      <w:r w:rsidR="00B01BC0" w:rsidRPr="00B01BC0">
        <w:rPr>
          <w:rFonts w:ascii="Calibri" w:hAnsi="Calibri"/>
          <w:sz w:val="22"/>
          <w:szCs w:val="22"/>
        </w:rPr>
        <w:t>der Werbung.</w:t>
      </w:r>
    </w:p>
    <w:p w14:paraId="1287DC94" w14:textId="5C9A822A" w:rsidR="00B01BC0" w:rsidRPr="00B01BC0" w:rsidRDefault="00B01BC0" w:rsidP="00B01BC0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 xml:space="preserve">Sammeln Sie aktuele Slogans </w:t>
      </w:r>
    </w:p>
    <w:p w14:paraId="57770902" w14:textId="0FF4FAED" w:rsidR="00B01BC0" w:rsidRPr="00B01BC0" w:rsidRDefault="000E7323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>aus</w:t>
      </w:r>
      <w:r w:rsidRPr="00B01BC0">
        <w:rPr>
          <w:rFonts w:ascii="Calibri" w:hAnsi="Calibri"/>
          <w:sz w:val="22"/>
          <w:szCs w:val="22"/>
        </w:rPr>
        <w:t xml:space="preserve"> </w:t>
      </w:r>
      <w:r w:rsidR="00B01BC0" w:rsidRPr="00B01BC0">
        <w:rPr>
          <w:rFonts w:ascii="Calibri" w:hAnsi="Calibri"/>
          <w:sz w:val="22"/>
          <w:szCs w:val="22"/>
        </w:rPr>
        <w:t>dem Bereich der Wirtschafswerbung</w:t>
      </w:r>
    </w:p>
    <w:p w14:paraId="037BE557" w14:textId="21182283" w:rsidR="00B01BC0" w:rsidRPr="00B01BC0" w:rsidRDefault="000E7323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 xml:space="preserve">aus dem Bereich </w:t>
      </w:r>
      <w:r w:rsidR="00B01BC0" w:rsidRPr="00B01BC0">
        <w:rPr>
          <w:rFonts w:ascii="Calibri" w:hAnsi="Calibri"/>
          <w:sz w:val="22"/>
          <w:szCs w:val="22"/>
        </w:rPr>
        <w:t>der Imagewerbung</w:t>
      </w:r>
    </w:p>
    <w:p w14:paraId="37A354EA" w14:textId="0DD07DD3" w:rsidR="00B01BC0" w:rsidRPr="00B01BC0" w:rsidRDefault="00B01BC0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 xml:space="preserve">aus der </w:t>
      </w:r>
      <w:r w:rsidR="000E7323">
        <w:rPr>
          <w:rFonts w:ascii="Calibri" w:hAnsi="Calibri"/>
          <w:sz w:val="22"/>
          <w:szCs w:val="22"/>
        </w:rPr>
        <w:t xml:space="preserve">Branchenwerbung z. B. </w:t>
      </w:r>
      <w:r w:rsidRPr="00B01BC0">
        <w:rPr>
          <w:rFonts w:ascii="Calibri" w:hAnsi="Calibri"/>
          <w:sz w:val="22"/>
          <w:szCs w:val="22"/>
        </w:rPr>
        <w:t>Autowerbung / Handy-Werbung / Textilwerbung</w:t>
      </w:r>
    </w:p>
    <w:p w14:paraId="46927DA3" w14:textId="00CDACCF" w:rsidR="00B01BC0" w:rsidRPr="00B01BC0" w:rsidRDefault="00B01BC0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>Werbung, mit denen Frauen / Männer angesprochen werden sollen</w:t>
      </w:r>
    </w:p>
    <w:p w14:paraId="6D6B22B1" w14:textId="5A12E82F" w:rsidR="00B01BC0" w:rsidRDefault="00B01BC0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>...</w:t>
      </w:r>
    </w:p>
    <w:p w14:paraId="22623C6D" w14:textId="5760208A" w:rsidR="00B01BC0" w:rsidRDefault="00B01BC0" w:rsidP="00B01BC0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Ordnen Sie diese Slogans nach den in ihnen verwendeten </w:t>
      </w:r>
      <w:r w:rsidR="006416D8">
        <w:rPr>
          <w:rFonts w:ascii="Calibri" w:hAnsi="Calibri"/>
          <w:sz w:val="22"/>
          <w:szCs w:val="22"/>
        </w:rPr>
        <w:t>satz</w:t>
      </w:r>
      <w:r>
        <w:rPr>
          <w:rFonts w:ascii="Calibri" w:hAnsi="Calibri"/>
          <w:sz w:val="22"/>
          <w:szCs w:val="22"/>
        </w:rPr>
        <w:t>bezogenen rhetorischen Mittel</w:t>
      </w:r>
      <w:r w:rsidR="000E7323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.</w:t>
      </w:r>
    </w:p>
    <w:p w14:paraId="1CCCE59A" w14:textId="2490F21A" w:rsidR="00B01BC0" w:rsidRPr="00B01BC0" w:rsidRDefault="00B01BC0" w:rsidP="00B01BC0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Führen Sie ein Ranking durch: Welcher Slogan ist Ihrer Ansicht nach besonders gelungen?</w:t>
      </w:r>
      <w:r>
        <w:rPr>
          <w:rFonts w:ascii="Calibri" w:hAnsi="Calibri"/>
          <w:sz w:val="22"/>
          <w:szCs w:val="22"/>
        </w:rPr>
        <w:br/>
        <w:t>Begründen Sie Ihre Ansicht.</w:t>
      </w:r>
    </w:p>
    <w:sectPr w:rsidR="00B01BC0" w:rsidRPr="00B01BC0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A9E2" w14:textId="77777777" w:rsidR="00CD20E5" w:rsidRDefault="00CD20E5" w:rsidP="003016EC">
      <w:r>
        <w:separator/>
      </w:r>
    </w:p>
  </w:endnote>
  <w:endnote w:type="continuationSeparator" w:id="0">
    <w:p w14:paraId="1565C944" w14:textId="77777777" w:rsidR="00CD20E5" w:rsidRDefault="00CD20E5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29EB" w14:textId="77777777" w:rsidR="00CD20E5" w:rsidRDefault="00CD20E5" w:rsidP="003016EC">
      <w:r>
        <w:separator/>
      </w:r>
    </w:p>
  </w:footnote>
  <w:footnote w:type="continuationSeparator" w:id="0">
    <w:p w14:paraId="5BE97C1C" w14:textId="77777777" w:rsidR="00CD20E5" w:rsidRDefault="00CD20E5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F328E8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</w:t>
    </w:r>
    <w:r w:rsidR="00EC7D66">
      <w:rPr>
        <w:rFonts w:asciiTheme="majorHAnsi" w:hAnsiTheme="majorHAnsi"/>
      </w:rPr>
      <w:t>21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3AD02818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EC7D66"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E0"/>
    <w:multiLevelType w:val="hybridMultilevel"/>
    <w:tmpl w:val="50F640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653"/>
    <w:multiLevelType w:val="hybridMultilevel"/>
    <w:tmpl w:val="892A93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77A"/>
    <w:multiLevelType w:val="hybridMultilevel"/>
    <w:tmpl w:val="1416DC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939"/>
    <w:multiLevelType w:val="hybridMultilevel"/>
    <w:tmpl w:val="A794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7045"/>
    <w:multiLevelType w:val="hybridMultilevel"/>
    <w:tmpl w:val="167037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54B79"/>
    <w:multiLevelType w:val="hybridMultilevel"/>
    <w:tmpl w:val="41328B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F427F"/>
    <w:multiLevelType w:val="multilevel"/>
    <w:tmpl w:val="BB8EEF76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hint="default"/>
      </w:rPr>
    </w:lvl>
  </w:abstractNum>
  <w:abstractNum w:abstractNumId="7" w15:restartNumberingAfterBreak="0">
    <w:nsid w:val="463D4C55"/>
    <w:multiLevelType w:val="multilevel"/>
    <w:tmpl w:val="CEC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6056B"/>
    <w:multiLevelType w:val="hybridMultilevel"/>
    <w:tmpl w:val="09E4E0D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E04F9C"/>
    <w:multiLevelType w:val="multilevel"/>
    <w:tmpl w:val="CEC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103C5"/>
    <w:multiLevelType w:val="multilevel"/>
    <w:tmpl w:val="CEC6FE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53702609"/>
    <w:multiLevelType w:val="hybridMultilevel"/>
    <w:tmpl w:val="C688D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F6F"/>
    <w:multiLevelType w:val="multilevel"/>
    <w:tmpl w:val="CEC6FE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6373254"/>
    <w:multiLevelType w:val="multilevel"/>
    <w:tmpl w:val="FF60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A08A3"/>
    <w:multiLevelType w:val="hybridMultilevel"/>
    <w:tmpl w:val="F6F6C2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1080A"/>
    <w:multiLevelType w:val="hybridMultilevel"/>
    <w:tmpl w:val="53843E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23A11"/>
    <w:multiLevelType w:val="multilevel"/>
    <w:tmpl w:val="C7B8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07782"/>
    <w:multiLevelType w:val="hybridMultilevel"/>
    <w:tmpl w:val="F3E4F9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76B8D"/>
    <w:multiLevelType w:val="hybridMultilevel"/>
    <w:tmpl w:val="9A009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 w:numId="17">
    <w:abstractNumId w:val="7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272A6"/>
    <w:rsid w:val="00065E89"/>
    <w:rsid w:val="000A0C8B"/>
    <w:rsid w:val="000D7F4D"/>
    <w:rsid w:val="000E7323"/>
    <w:rsid w:val="000F3433"/>
    <w:rsid w:val="00101F46"/>
    <w:rsid w:val="00153614"/>
    <w:rsid w:val="00173581"/>
    <w:rsid w:val="00183329"/>
    <w:rsid w:val="001847B8"/>
    <w:rsid w:val="0019512F"/>
    <w:rsid w:val="001A5F45"/>
    <w:rsid w:val="001B52BE"/>
    <w:rsid w:val="001B6478"/>
    <w:rsid w:val="001C62B6"/>
    <w:rsid w:val="001D4D05"/>
    <w:rsid w:val="001E1EF2"/>
    <w:rsid w:val="001F18EA"/>
    <w:rsid w:val="00216E98"/>
    <w:rsid w:val="00227AF7"/>
    <w:rsid w:val="00236BDA"/>
    <w:rsid w:val="00252E54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B6654"/>
    <w:rsid w:val="003D3D1E"/>
    <w:rsid w:val="00405D5D"/>
    <w:rsid w:val="00424DCB"/>
    <w:rsid w:val="00434B2C"/>
    <w:rsid w:val="0044013C"/>
    <w:rsid w:val="00455B09"/>
    <w:rsid w:val="0047179F"/>
    <w:rsid w:val="00473430"/>
    <w:rsid w:val="00486EE5"/>
    <w:rsid w:val="004C0D12"/>
    <w:rsid w:val="004C641A"/>
    <w:rsid w:val="004E1276"/>
    <w:rsid w:val="0052752D"/>
    <w:rsid w:val="00536A60"/>
    <w:rsid w:val="005378A1"/>
    <w:rsid w:val="00546872"/>
    <w:rsid w:val="005513EF"/>
    <w:rsid w:val="0055398A"/>
    <w:rsid w:val="0055779D"/>
    <w:rsid w:val="00592822"/>
    <w:rsid w:val="005B4958"/>
    <w:rsid w:val="005B7D8B"/>
    <w:rsid w:val="005D06DC"/>
    <w:rsid w:val="005D2C1C"/>
    <w:rsid w:val="005D34F4"/>
    <w:rsid w:val="005D529A"/>
    <w:rsid w:val="005F1807"/>
    <w:rsid w:val="005F4234"/>
    <w:rsid w:val="005F69FC"/>
    <w:rsid w:val="00607466"/>
    <w:rsid w:val="00623D80"/>
    <w:rsid w:val="006411D4"/>
    <w:rsid w:val="006416D8"/>
    <w:rsid w:val="00643843"/>
    <w:rsid w:val="00643CA3"/>
    <w:rsid w:val="00661704"/>
    <w:rsid w:val="00677BF5"/>
    <w:rsid w:val="00697F1A"/>
    <w:rsid w:val="006A6027"/>
    <w:rsid w:val="006D3FAD"/>
    <w:rsid w:val="00712D3C"/>
    <w:rsid w:val="007130BF"/>
    <w:rsid w:val="007143C7"/>
    <w:rsid w:val="0073794C"/>
    <w:rsid w:val="007528A3"/>
    <w:rsid w:val="00773F41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71BE5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E7523"/>
    <w:rsid w:val="00AF7544"/>
    <w:rsid w:val="00B01BC0"/>
    <w:rsid w:val="00B022A6"/>
    <w:rsid w:val="00B04780"/>
    <w:rsid w:val="00B2610B"/>
    <w:rsid w:val="00B378E3"/>
    <w:rsid w:val="00B53E2C"/>
    <w:rsid w:val="00B86AD5"/>
    <w:rsid w:val="00B9777A"/>
    <w:rsid w:val="00BB131C"/>
    <w:rsid w:val="00BB562E"/>
    <w:rsid w:val="00BB628A"/>
    <w:rsid w:val="00BC7553"/>
    <w:rsid w:val="00BF7EE8"/>
    <w:rsid w:val="00C0249D"/>
    <w:rsid w:val="00C03E9B"/>
    <w:rsid w:val="00C374A3"/>
    <w:rsid w:val="00C40B74"/>
    <w:rsid w:val="00C43AFE"/>
    <w:rsid w:val="00C47743"/>
    <w:rsid w:val="00C61BAA"/>
    <w:rsid w:val="00C61D7E"/>
    <w:rsid w:val="00C831BA"/>
    <w:rsid w:val="00CD20E5"/>
    <w:rsid w:val="00CE62E1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B21DD"/>
    <w:rsid w:val="00DB3D5C"/>
    <w:rsid w:val="00E12981"/>
    <w:rsid w:val="00E22652"/>
    <w:rsid w:val="00E765F4"/>
    <w:rsid w:val="00E97A5A"/>
    <w:rsid w:val="00EB6F45"/>
    <w:rsid w:val="00EC2549"/>
    <w:rsid w:val="00EC7D66"/>
    <w:rsid w:val="00ED263A"/>
    <w:rsid w:val="00EE2BE8"/>
    <w:rsid w:val="00F0664A"/>
    <w:rsid w:val="00F300C0"/>
    <w:rsid w:val="00F3736C"/>
    <w:rsid w:val="00F7106A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416D8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Fett">
    <w:name w:val="Strong"/>
    <w:qFormat/>
    <w:rsid w:val="005D06DC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1D4D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BA4F8-1E6E-4D27-9A71-086483F9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Wortbezogene rhetorische Mittel in Werbeslogans</vt:lpstr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Egle</dc:creator>
  <cp:lastModifiedBy>Gert Egle</cp:lastModifiedBy>
  <cp:revision>3</cp:revision>
  <cp:lastPrinted>2021-11-08T06:57:00Z</cp:lastPrinted>
  <dcterms:created xsi:type="dcterms:W3CDTF">2021-11-08T08:09:00Z</dcterms:created>
  <dcterms:modified xsi:type="dcterms:W3CDTF">2021-11-08T08:17:00Z</dcterms:modified>
</cp:coreProperties>
</file>