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55129" w14:textId="77777777" w:rsidR="00021145" w:rsidRPr="00775F3D" w:rsidRDefault="00A647FC" w:rsidP="0045272E">
      <w:pPr>
        <w:spacing w:after="120"/>
        <w:rPr>
          <w:color w:val="4F81BD" w:themeColor="accent1"/>
          <w:sz w:val="24"/>
        </w:rPr>
      </w:pPr>
      <w:r w:rsidRPr="00775F3D">
        <w:rPr>
          <w:b/>
          <w:color w:val="4F81BD" w:themeColor="accent1"/>
          <w:sz w:val="32"/>
        </w:rPr>
        <w:t>Die Technik des Dramas</w:t>
      </w:r>
      <w:r w:rsidRPr="00775F3D">
        <w:rPr>
          <w:b/>
          <w:color w:val="4F81BD" w:themeColor="accent1"/>
          <w:sz w:val="32"/>
        </w:rPr>
        <w:br/>
      </w:r>
      <w:r w:rsidRPr="00775F3D">
        <w:rPr>
          <w:color w:val="4F81BD" w:themeColor="accent1"/>
          <w:sz w:val="24"/>
        </w:rPr>
        <w:t>Gustav Freytag (1816-1895) –(Auszüge)</w:t>
      </w:r>
    </w:p>
    <w:p w14:paraId="69903843" w14:textId="0B57E0D9" w:rsidR="00732267" w:rsidRPr="00021145" w:rsidRDefault="00021145" w:rsidP="00775F3D">
      <w:pPr>
        <w:spacing w:after="60"/>
        <w:jc w:val="both"/>
        <w:rPr>
          <w:i/>
        </w:rPr>
      </w:pPr>
      <w:r w:rsidRPr="00021145">
        <w:rPr>
          <w:i/>
        </w:rPr>
        <w:t>Gustav Freytag (1816-1895) arbeitet Grundgesetze des dramatischen Schaffens von Aristoteles bis Schiller auf. Dabei will er über Gesetze und Regeln des Dramas aufklären, die er insbesondere an "Dramen hohen Stils" (= Tragödien) von Sophokles, Shakespeare, Lessing, Goethe und Schiller aufzeigt. Seine Ausführungen über den schematischen Aufbau des Dramas, die mit Beginn des Naturalismus dann allerdings endgültig überwunden werden, werden immer wieder zur Strukturanalyse v</w:t>
      </w:r>
      <w:bookmarkStart w:id="0" w:name="_GoBack"/>
      <w:bookmarkEnd w:id="0"/>
      <w:r w:rsidRPr="00021145">
        <w:rPr>
          <w:i/>
        </w:rPr>
        <w:t>on dramatischen Texten eingesetzt.</w:t>
      </w:r>
    </w:p>
    <w:p w14:paraId="6EF7507E" w14:textId="77777777" w:rsidR="0068413E" w:rsidRPr="0045272E" w:rsidRDefault="0068413E" w:rsidP="00775F3D">
      <w:pPr>
        <w:spacing w:after="60"/>
        <w:jc w:val="both"/>
        <w:rPr>
          <w:b/>
          <w:sz w:val="10"/>
        </w:rPr>
        <w:sectPr w:rsidR="0068413E" w:rsidRPr="0045272E" w:rsidSect="00F554B4">
          <w:headerReference w:type="even" r:id="rId8"/>
          <w:headerReference w:type="default" r:id="rId9"/>
          <w:footerReference w:type="even" r:id="rId10"/>
          <w:footerReference w:type="default" r:id="rId11"/>
          <w:type w:val="continuous"/>
          <w:pgSz w:w="11900" w:h="16840"/>
          <w:pgMar w:top="1418" w:right="1418" w:bottom="1134" w:left="1418" w:header="709" w:footer="709" w:gutter="0"/>
          <w:cols w:space="708"/>
          <w:docGrid w:linePitch="360"/>
        </w:sectPr>
      </w:pPr>
    </w:p>
    <w:p w14:paraId="2350BB93" w14:textId="52379316" w:rsidR="00A647FC" w:rsidRDefault="00021145" w:rsidP="00775F3D">
      <w:pPr>
        <w:spacing w:before="60"/>
        <w:jc w:val="both"/>
      </w:pPr>
      <w:r>
        <w:t>„</w:t>
      </w:r>
      <w:r w:rsidR="00A647FC">
        <w:t>Durch die beiden Hälften der Handlung, welche in einem Punkte zusammenschließen, erhält das Drama - wenn man die Anordnung durch Linien verbildlicht - einen pyramidalen Bau. Es steigt von der Einleitung mit dem Zutritt des erregenden Moments bis zu dem Höhenpunkt und fällt von da bis zur Katastrophe. Zwischen diesen drei Teilen liegen die Teile der Steigerung und des Falles. Jeder dieser fünf Teile kann aus einer Szene oder aus einer gegliederten Folge von Szenen bestehen, nur der Höhenpunkt ist gewöhnlich in einer Hauptszene zusammengefasst.</w:t>
      </w:r>
    </w:p>
    <w:p w14:paraId="7C9417F6" w14:textId="133974B7" w:rsidR="00A647FC" w:rsidRDefault="00A647FC" w:rsidP="00775F3D">
      <w:pPr>
        <w:spacing w:before="60"/>
        <w:jc w:val="both"/>
      </w:pPr>
      <w:r>
        <w:t>Diese Teile des Dramas, a) Einleitung, b) Steigerung, c) Höhenpunkt, d) Fall oder Um-kehr, e) Katastrophe, haben jeder Besonderes in Zweck und Baueinrichtung. Zwischen ihnen stehen drei wichtige szenische Wirkungen, durch welche die fünf Teile sowohl geschieden als verbunden werden. Von diesen drei dramatischen Momenten steht eines, welches den Beginn der bewegten Handlung bezeichnet, zwischen Einleitung und Steigerung, das zweite, Beginn der Gegenwirkung, zwischen Höhenpunkt und Umkehr, das dritte, welches vor Eintritt der Katastrophe noch einmal zu steigern hat, zwischen Umkehr und Katastrophe. Sie heißen hier: das erregende Moment, das tragische Moment, das Moment der letzten Spannung. Die erste Wirkung ist jedem Drama nötig, die zweite und dritte sind gute, aber nicht unentbehrliche Hilfsmittel. - Es werden deshalb im Folgenden acht Bestandteile des Dramas i</w:t>
      </w:r>
      <w:r w:rsidR="00CE3D7C">
        <w:t>n ihrer Reihenfolge aufgeführt.</w:t>
      </w:r>
    </w:p>
    <w:p w14:paraId="2FF61A4E" w14:textId="5E090187" w:rsidR="00A647FC" w:rsidRDefault="00A647FC" w:rsidP="00775F3D">
      <w:pPr>
        <w:spacing w:before="60"/>
        <w:jc w:val="both"/>
      </w:pPr>
      <w:r w:rsidRPr="00CE3D7C">
        <w:rPr>
          <w:b/>
        </w:rPr>
        <w:t>Die Einleitung</w:t>
      </w:r>
      <w:r>
        <w:t xml:space="preserve"> [...] Da die Darstellung von Ort, Zeit, Volkstum und Lebensverhältnissen des Helden der Einleitung des Dramas zukommt, so wird diese zunächst das Umgebende kurz charakterisieren. Außerdem wird dem Dichter hier Gelegenheit, sowohl die eigentümliche Stimmung des Stückes wie in kurzer Ouverture anzudeuten, als auch das Tempo desselben, die größere Leidenschaftlichkeit oder Ruhe, mit welcher die Handlung forteilt [...]</w:t>
      </w:r>
    </w:p>
    <w:p w14:paraId="573F3802" w14:textId="474AAA2F" w:rsidR="00A647FC" w:rsidRDefault="00A647FC" w:rsidP="00775F3D">
      <w:pPr>
        <w:spacing w:before="60"/>
        <w:jc w:val="both"/>
      </w:pPr>
      <w:r w:rsidRPr="00CE3D7C">
        <w:rPr>
          <w:b/>
        </w:rPr>
        <w:t>Das erregende Moment</w:t>
      </w:r>
      <w:r>
        <w:t>. Der Eintritt der bewegten Handlung findet an der Stelle des Dramas statt, wo in der Seele des Helden ein Gefühl oder Wollen aufsteigt, welches die Veranlassung zu der folgenden Handlung wird, oder wo das Gegenspiel den Entschluss fasst, durch seine Hebel den Helden in Bewegung zu setzen. Offenbar wird dieses Treibende bedeutsamer in solchen Stücken hervortreten, bei denen der Hauptspieler die erste Hälfte willenskräftig beherrscht, aber es bleibt bei jeder Anordnung ein wichtiges Moment der Handlung [...]</w:t>
      </w:r>
    </w:p>
    <w:p w14:paraId="2F5497D1" w14:textId="5ED543F4" w:rsidR="00A647FC" w:rsidRDefault="00A647FC" w:rsidP="00775F3D">
      <w:pPr>
        <w:spacing w:before="60"/>
        <w:jc w:val="both"/>
      </w:pPr>
      <w:r w:rsidRPr="00CE3D7C">
        <w:rPr>
          <w:b/>
        </w:rPr>
        <w:t>Die Steigerung</w:t>
      </w:r>
      <w:r>
        <w:t>. Die Handlung ist in Bewegung gesetzt, die Hauptpersonen haben ihr Wesen dargelegt, die Teilnahme ist angeregt. In einer gegebenen Richtung hebt sich Stimmung, Leidenschaft, Verwicklung [...]</w:t>
      </w:r>
    </w:p>
    <w:p w14:paraId="4E7D5EE0" w14:textId="4DF6D107" w:rsidR="00A647FC" w:rsidRDefault="00A647FC" w:rsidP="00775F3D">
      <w:pPr>
        <w:spacing w:before="60"/>
        <w:jc w:val="both"/>
      </w:pPr>
      <w:r>
        <w:t>[...] War es nicht möglich, die wichtigsten Personen des Gegenspiels oder der Hauptgruppe im Vorhergehenden darzustellen, so muss ihnen jetzt ein Raum geschafft und Gelegenheit zu bedeutsamer Tätigkeit gegeben werden. Auch solche, welche erst in der zweiten Hälfte des Dramas wirksam sind, müssen dringend wünschen, sich schon jetzt dem Hörer bekannt zu machen[...]</w:t>
      </w:r>
      <w:r w:rsidR="00CE3D7C">
        <w:t>.</w:t>
      </w:r>
    </w:p>
    <w:p w14:paraId="2F977D6E" w14:textId="164CF5AD" w:rsidR="00A647FC" w:rsidRDefault="00A647FC" w:rsidP="00775F3D">
      <w:pPr>
        <w:spacing w:before="60"/>
        <w:jc w:val="both"/>
      </w:pPr>
      <w:r w:rsidRPr="00CE3D7C">
        <w:rPr>
          <w:b/>
        </w:rPr>
        <w:t>Der Höhepunkt</w:t>
      </w:r>
      <w:r>
        <w:t xml:space="preserve"> des Dramas ist die Stelle des Stückes, in welcher das Ergebnis des auf-steigenden Kampfes stark und entschieden heraustritt, er ist fast immer die Spitze einer groß ausgeführten Szene, an welche sich die kleineren Verbindungsszenen von der Steigerung und der fallenden Handlung heranlegen. Allen Glanz der Poesie, alle dramatische Kraft wird der Dichter anzuwenden haben, um diesen Mittelpunkt seines Kunstwerks lebendig herauszuheben. Die höchste Bedeutung hat er freilich nur in den Stücken, in denen der Held die aufsteigende Handlung durch seine inneren Seelenvorgänge treibt; bei den Dramen, welche durch das Gegenspiel steigen, bezeichnet er die allerdings wichtige Stelle, wo dies Spiel den Haupthelden gefangen und in die Richtung des Falles verlockt hat [...]</w:t>
      </w:r>
    </w:p>
    <w:p w14:paraId="61B3B0B6" w14:textId="7F31EDAA" w:rsidR="00A647FC" w:rsidRDefault="00A647FC" w:rsidP="00775F3D">
      <w:pPr>
        <w:spacing w:before="60"/>
        <w:jc w:val="both"/>
      </w:pPr>
      <w:r>
        <w:t>[...] Wenn an einem Punkte der Handlung plötzlich, unerwartet, im Gegensatz zu dem Vorhergehenden etwas Trauriges, Finsteres, Schreckliches eintritt, das wir doch sofort als aus der ursächlichen Verbindung der Ereignisse hervorgegangen und aus den Vorausset-zungen des Stückes als vollständig begreiflich empfinden, so ist dies Neue ein tragisches Moment[...]</w:t>
      </w:r>
    </w:p>
    <w:p w14:paraId="458F2875" w14:textId="3CA0E9DB" w:rsidR="00A647FC" w:rsidRDefault="00A647FC" w:rsidP="00775F3D">
      <w:pPr>
        <w:spacing w:before="60"/>
        <w:jc w:val="both"/>
      </w:pPr>
      <w:r>
        <w:t xml:space="preserve">[...] Der schwierigste Teil des Dramas ist die Szenenfolge der fallenden Handlung oder, wie sie wohl genannt wird, der Umkehr; allerdings treten die Gefahren zumeist bei den kraft-vollen Stücken ein, in denen die Helden die Führung haben. Bis zum Höhenpunkt war die Teilnahme an die eingeschlagene Richtung der Hauptcharaktere gefesselt. Nach der Tat entsteht eine Pause. Die Spannung muss auf das Neue erregt </w:t>
      </w:r>
      <w:r>
        <w:lastRenderedPageBreak/>
        <w:t>werden, dazu müssen neue Kräfte, vielleicht neue Rollen vorgeführt werden, an denen der Hörer erst Anteil gewinnen soll [...]</w:t>
      </w:r>
    </w:p>
    <w:p w14:paraId="200FF163" w14:textId="1FF35914" w:rsidR="00A647FC" w:rsidRDefault="00A647FC" w:rsidP="00775F3D">
      <w:pPr>
        <w:spacing w:before="60"/>
        <w:jc w:val="both"/>
      </w:pPr>
      <w:r>
        <w:t>[...] Außerdem noch ein anderes. Vorzüglich dieser Teil des Dramas ist es, welcher den Charakter des Dichters in Anspruch nimmt. Denn das Schicksal gewinnt Macht über den Helden, seine Kämpfe wachsen einem verhängnisvollen Ausgang zu, der sein ganzes Leben ergreift.</w:t>
      </w:r>
    </w:p>
    <w:p w14:paraId="1EAC377C" w14:textId="7D08EA43" w:rsidR="00A647FC" w:rsidRDefault="00A647FC" w:rsidP="00775F3D">
      <w:pPr>
        <w:spacing w:before="60"/>
        <w:jc w:val="both"/>
      </w:pPr>
      <w:r>
        <w:t>[...] Der Kern des Ganzen, Idee und Führung der Handlung treten mächtig hervor, der Zuschauer versteht den Zusammenhang der Begebenheiten, sieht die letzte Absicht des Dichters, er soll sich den höchsten Wirkungen hingeben und er beginnt mitten in seiner Teilnahme prüfend das Maß seines Wissens, seiner gemütlichen Neigungen und Bedürfnisse an das Kunstwerk zu legen [...]</w:t>
      </w:r>
    </w:p>
    <w:p w14:paraId="621F0261" w14:textId="7C88AC38" w:rsidR="00A647FC" w:rsidRDefault="00A647FC" w:rsidP="00775F3D">
      <w:pPr>
        <w:spacing w:before="60"/>
        <w:jc w:val="both"/>
      </w:pPr>
      <w:r w:rsidRPr="00CE3D7C">
        <w:rPr>
          <w:b/>
        </w:rPr>
        <w:t>Das Moment der letzten Spannung</w:t>
      </w:r>
      <w:r>
        <w:t>. Dass die Katastrophe dem Hörer im Ganzen nicht überraschend kommen dürfe, versteht sich von selbst [...]</w:t>
      </w:r>
    </w:p>
    <w:p w14:paraId="718D19AD" w14:textId="38372885" w:rsidR="00A647FC" w:rsidRDefault="00A647FC" w:rsidP="00775F3D">
      <w:pPr>
        <w:spacing w:before="60"/>
        <w:jc w:val="both"/>
      </w:pPr>
      <w:r>
        <w:t>Demungeachtet ist es zuweilen misslich, ohne Unterbrechung bis zum Ende zu eilen. Gerade dann, wenn das Gewicht des unglücklichen Geschicks bereits lange und schwer auf einem Helden lastet, welchem die gerührte Empfindung des Hörers Rettung wünscht, obgleich vernünftige Erwägung die innere Notwendigkeit des Untergangs recht wohl deutlich macht. In solchem Falle ist ein altes anspruchsloses Mittel des Dichters, dem Gemüt des Hörers für einige Augenblicke Aussicht auf Erleichterung zu gönnen. Dies geschieht durch eine neue kleine Spannung, dadurch, dass ein leichtes Hindernis, eine entfernte Möglichkeit glücklicher Lösung, der bereits angedeuteten Richtung auf das Ende noch in den Weg geworfen wird [...]</w:t>
      </w:r>
    </w:p>
    <w:p w14:paraId="4D1EF95C" w14:textId="147A7222" w:rsidR="00A647FC" w:rsidRDefault="00A647FC" w:rsidP="00775F3D">
      <w:pPr>
        <w:spacing w:before="60"/>
        <w:jc w:val="both"/>
      </w:pPr>
      <w:r w:rsidRPr="00CE3D7C">
        <w:rPr>
          <w:b/>
        </w:rPr>
        <w:t>Katastrophe des Dramas</w:t>
      </w:r>
      <w:r>
        <w:t xml:space="preserve"> ist uns die Schlusshandlung, welche der Bühne des Altertums Exodus hieß. In ihr wird die Befangenheit der Hauptcharaktere durch eine kräftige Tat aufgehoben. Je tiefer der Kampf aus ihrem innersten Leben hervorgegangen und je größer das Ziel desselben war, desto folgerichtiger wird die Vernichtung des unterliegenden Helden sein [...]</w:t>
      </w:r>
    </w:p>
    <w:p w14:paraId="5C21AC0C" w14:textId="77777777" w:rsidR="00CE3D7C" w:rsidRDefault="00A647FC" w:rsidP="00775F3D">
      <w:pPr>
        <w:spacing w:before="60"/>
        <w:jc w:val="both"/>
        <w:sectPr w:rsidR="00CE3D7C" w:rsidSect="00CE3D7C">
          <w:type w:val="continuous"/>
          <w:pgSz w:w="11900" w:h="16840"/>
          <w:pgMar w:top="1418" w:right="1418" w:bottom="1134" w:left="1418" w:header="709" w:footer="709" w:gutter="0"/>
          <w:lnNumType w:countBy="5" w:restart="newSection"/>
          <w:cols w:space="708"/>
          <w:docGrid w:linePitch="360"/>
        </w:sectPr>
      </w:pPr>
      <w:r>
        <w:t>[...] Über dem Ende der Helden aber muss versöhnend und erhebend im Zuschauer die Empfindung von dem Vernünftigen und Notwendigen solches Untergangs lebendig wer-den. Dies ist nur möglich, wenn durch das Geschick der Helden eine wirkliche Ausgleichung der kämpfenden Gegensätze hervorgebracht wird. Die Schlussworte des Dramas haben die Aufgabe, zu erinnern, dass nichts Zufälliges, einmal Geschehenes dargestellt worden sei, sondern ein Poetisches, das allgemein verständliche Bedeutung habe [...]</w:t>
      </w:r>
    </w:p>
    <w:p w14:paraId="31E4FC58" w14:textId="273E2277" w:rsidR="00A647FC" w:rsidRPr="00021145" w:rsidRDefault="00021145" w:rsidP="00775F3D">
      <w:pPr>
        <w:spacing w:before="120" w:after="120"/>
      </w:pPr>
      <w:r w:rsidRPr="00021145">
        <w:rPr>
          <w:rFonts w:cs="Arial"/>
          <w:szCs w:val="20"/>
        </w:rPr>
        <w:t>(aus: Gustav Freytag: Die Technik des Dramas, Leipzig: Verlag G. Hirzel 1863 unveränderter Nachdruck, Darmstadt 1969. S.102ff.</w:t>
      </w:r>
      <w:r w:rsidR="00E644B4">
        <w:rPr>
          <w:rFonts w:cs="Arial"/>
          <w:szCs w:val="20"/>
        </w:rPr>
        <w:t>, Public Domain</w:t>
      </w:r>
      <w:r w:rsidRPr="00021145">
        <w:rPr>
          <w:rFonts w:cs="Arial"/>
          <w:szCs w:val="20"/>
        </w:rPr>
        <w:t>)</w:t>
      </w:r>
    </w:p>
    <w:bookmarkStart w:id="1" w:name="_MON_1076180425"/>
    <w:bookmarkEnd w:id="1"/>
    <w:p w14:paraId="5958B7D2" w14:textId="3701BAE2" w:rsidR="00A647FC" w:rsidRDefault="00775F3D" w:rsidP="00021145">
      <w:pPr>
        <w:spacing w:after="120"/>
        <w:jc w:val="center"/>
        <w:rPr>
          <w:sz w:val="14"/>
        </w:rPr>
      </w:pPr>
      <w:r>
        <w:object w:dxaOrig="7965" w:dyaOrig="5326" w14:anchorId="5FACF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0.7pt;height:247.35pt" o:ole="" fillcolor="window">
            <v:imagedata r:id="rId12" o:title=""/>
          </v:shape>
          <o:OLEObject Type="Embed" ProgID="Word.Picture.8" ShapeID="_x0000_i1025" DrawAspect="Content" ObjectID="_1652776483" r:id="rId13"/>
        </w:object>
      </w:r>
    </w:p>
    <w:p w14:paraId="3B90CFC0" w14:textId="77777777" w:rsidR="00A647FC" w:rsidRPr="003C6944" w:rsidRDefault="00A647FC" w:rsidP="00BD3233">
      <w:pPr>
        <w:spacing w:after="120"/>
        <w:rPr>
          <w:sz w:val="14"/>
        </w:rPr>
      </w:pPr>
    </w:p>
    <w:p w14:paraId="47848D1C" w14:textId="72AC352A" w:rsidR="004E5969" w:rsidRPr="004E5969" w:rsidRDefault="004E5969" w:rsidP="0003382B">
      <w:pPr>
        <w:rPr>
          <w:rFonts w:asciiTheme="majorHAnsi" w:hAnsiTheme="majorHAnsi"/>
          <w:b/>
        </w:rPr>
      </w:pPr>
      <w:r w:rsidRPr="004E5969">
        <w:rPr>
          <w:rFonts w:asciiTheme="majorHAnsi" w:hAnsiTheme="majorHAnsi"/>
          <w:b/>
        </w:rPr>
        <w:t>Arbeitsanregungen:</w:t>
      </w:r>
    </w:p>
    <w:p w14:paraId="02A1E349" w14:textId="46264F17" w:rsidR="004E5969" w:rsidRDefault="00775F3D" w:rsidP="00021145">
      <w:pPr>
        <w:pStyle w:val="Listenabsatz"/>
        <w:numPr>
          <w:ilvl w:val="0"/>
          <w:numId w:val="36"/>
        </w:numPr>
        <w:rPr>
          <w:rFonts w:asciiTheme="majorHAnsi" w:hAnsiTheme="majorHAnsi"/>
          <w:szCs w:val="20"/>
        </w:rPr>
      </w:pPr>
      <w:r>
        <w:rPr>
          <w:rFonts w:asciiTheme="majorHAnsi" w:hAnsiTheme="majorHAnsi"/>
          <w:szCs w:val="20"/>
        </w:rPr>
        <w:t>Überprüfen</w:t>
      </w:r>
      <w:r w:rsidR="00021145" w:rsidRPr="00021145">
        <w:rPr>
          <w:rFonts w:asciiTheme="majorHAnsi" w:hAnsiTheme="majorHAnsi"/>
          <w:szCs w:val="20"/>
        </w:rPr>
        <w:t xml:space="preserve"> Sie, ob die Strukturprinzipien des Dramas, wie Freytag sie bestimmt, auf das behandelte Drama zutreffen.</w:t>
      </w:r>
    </w:p>
    <w:p w14:paraId="1A3E7C97" w14:textId="43FA67D4" w:rsidR="00BD3233" w:rsidRPr="00021145" w:rsidRDefault="00021145" w:rsidP="00021145">
      <w:pPr>
        <w:pStyle w:val="Listenabsatz"/>
        <w:numPr>
          <w:ilvl w:val="0"/>
          <w:numId w:val="36"/>
        </w:numPr>
        <w:rPr>
          <w:rFonts w:asciiTheme="majorHAnsi" w:hAnsiTheme="majorHAnsi"/>
          <w:szCs w:val="20"/>
        </w:rPr>
      </w:pPr>
      <w:r w:rsidRPr="00021145">
        <w:rPr>
          <w:rFonts w:asciiTheme="majorHAnsi" w:hAnsiTheme="majorHAnsi"/>
          <w:szCs w:val="20"/>
        </w:rPr>
        <w:t>Wenden Sie das Modell auf</w:t>
      </w:r>
      <w:r>
        <w:rPr>
          <w:rFonts w:asciiTheme="majorHAnsi" w:hAnsiTheme="majorHAnsi"/>
          <w:szCs w:val="20"/>
        </w:rPr>
        <w:t xml:space="preserve"> das behandelte Theaterstück an. </w:t>
      </w:r>
      <w:r w:rsidRPr="00021145">
        <w:rPr>
          <w:rFonts w:asciiTheme="majorHAnsi" w:hAnsiTheme="majorHAnsi"/>
          <w:szCs w:val="20"/>
        </w:rPr>
        <w:t>Gelingt eine vollständige Umsetzung?</w:t>
      </w:r>
    </w:p>
    <w:sectPr w:rsidR="00BD3233" w:rsidRPr="00021145"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38E78" w14:textId="77777777" w:rsidR="00B92CD7" w:rsidRDefault="00B92CD7" w:rsidP="003016EC">
      <w:r>
        <w:separator/>
      </w:r>
    </w:p>
  </w:endnote>
  <w:endnote w:type="continuationSeparator" w:id="0">
    <w:p w14:paraId="5F50BDBB" w14:textId="77777777" w:rsidR="00B92CD7" w:rsidRDefault="00B92CD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0248F454">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B32E1" w14:textId="77777777" w:rsidR="00B92CD7" w:rsidRDefault="00B92CD7" w:rsidP="003016EC">
      <w:r>
        <w:separator/>
      </w:r>
    </w:p>
  </w:footnote>
  <w:footnote w:type="continuationSeparator" w:id="0">
    <w:p w14:paraId="66CFAA18" w14:textId="77777777" w:rsidR="00B92CD7" w:rsidRDefault="00B92CD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029413BF" w:rsidR="001B6478" w:rsidRPr="003B0F77" w:rsidRDefault="00B92CD7"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248AB">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CE3E63"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248AB">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6D535795" w:rsidR="00227AF7" w:rsidRPr="003B0F77" w:rsidRDefault="00227AF7" w:rsidP="00775F3D">
    <w:pPr>
      <w:pStyle w:val="Kopfzeile"/>
      <w:tabs>
        <w:tab w:val="clear" w:pos="4536"/>
        <w:tab w:val="center" w:pos="5245"/>
        <w:tab w:val="left" w:pos="7088"/>
      </w:tabs>
      <w:ind w:firstLine="3540"/>
      <w:jc w:val="center"/>
      <w:rPr>
        <w:rFonts w:asciiTheme="majorHAnsi" w:hAnsiTheme="majorHAnsi"/>
      </w:rPr>
    </w:pPr>
    <w:r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B0F77">
      <w:rPr>
        <w:rFonts w:asciiTheme="majorHAnsi" w:hAnsiTheme="majorHAnsi"/>
      </w:rPr>
      <w:t>teachSam-OER 201</w:t>
    </w:r>
    <w:r w:rsidR="00775F3D">
      <w:rPr>
        <w:rFonts w:asciiTheme="majorHAnsi" w:hAnsiTheme="majorHAnsi"/>
      </w:rPr>
      <w:t>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27"/>
  </w:num>
  <w:num w:numId="4">
    <w:abstractNumId w:val="11"/>
  </w:num>
  <w:num w:numId="5">
    <w:abstractNumId w:val="35"/>
  </w:num>
  <w:num w:numId="6">
    <w:abstractNumId w:val="6"/>
  </w:num>
  <w:num w:numId="7">
    <w:abstractNumId w:val="3"/>
  </w:num>
  <w:num w:numId="8">
    <w:abstractNumId w:val="0"/>
  </w:num>
  <w:num w:numId="9">
    <w:abstractNumId w:val="18"/>
  </w:num>
  <w:num w:numId="10">
    <w:abstractNumId w:val="32"/>
  </w:num>
  <w:num w:numId="11">
    <w:abstractNumId w:val="8"/>
  </w:num>
  <w:num w:numId="12">
    <w:abstractNumId w:val="5"/>
  </w:num>
  <w:num w:numId="13">
    <w:abstractNumId w:val="9"/>
  </w:num>
  <w:num w:numId="14">
    <w:abstractNumId w:val="1"/>
  </w:num>
  <w:num w:numId="15">
    <w:abstractNumId w:val="34"/>
  </w:num>
  <w:num w:numId="16">
    <w:abstractNumId w:val="22"/>
  </w:num>
  <w:num w:numId="17">
    <w:abstractNumId w:val="13"/>
  </w:num>
  <w:num w:numId="18">
    <w:abstractNumId w:val="36"/>
  </w:num>
  <w:num w:numId="19">
    <w:abstractNumId w:val="28"/>
  </w:num>
  <w:num w:numId="20">
    <w:abstractNumId w:val="31"/>
  </w:num>
  <w:num w:numId="21">
    <w:abstractNumId w:val="30"/>
  </w:num>
  <w:num w:numId="22">
    <w:abstractNumId w:val="33"/>
  </w:num>
  <w:num w:numId="23">
    <w:abstractNumId w:val="25"/>
  </w:num>
  <w:num w:numId="24">
    <w:abstractNumId w:val="12"/>
  </w:num>
  <w:num w:numId="25">
    <w:abstractNumId w:val="2"/>
  </w:num>
  <w:num w:numId="26">
    <w:abstractNumId w:val="29"/>
  </w:num>
  <w:num w:numId="27">
    <w:abstractNumId w:val="17"/>
  </w:num>
  <w:num w:numId="28">
    <w:abstractNumId w:val="15"/>
  </w:num>
  <w:num w:numId="29">
    <w:abstractNumId w:val="10"/>
  </w:num>
  <w:num w:numId="30">
    <w:abstractNumId w:val="24"/>
  </w:num>
  <w:num w:numId="31">
    <w:abstractNumId w:val="14"/>
  </w:num>
  <w:num w:numId="32">
    <w:abstractNumId w:val="26"/>
  </w:num>
  <w:num w:numId="33">
    <w:abstractNumId w:val="4"/>
  </w:num>
  <w:num w:numId="34">
    <w:abstractNumId w:val="19"/>
  </w:num>
  <w:num w:numId="35">
    <w:abstractNumId w:val="16"/>
  </w:num>
  <w:num w:numId="36">
    <w:abstractNumId w:val="21"/>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21145"/>
    <w:rsid w:val="00021EB0"/>
    <w:rsid w:val="000248AB"/>
    <w:rsid w:val="0003382B"/>
    <w:rsid w:val="00042F8F"/>
    <w:rsid w:val="00056367"/>
    <w:rsid w:val="00065E89"/>
    <w:rsid w:val="00067979"/>
    <w:rsid w:val="0008142E"/>
    <w:rsid w:val="000912E9"/>
    <w:rsid w:val="000A0C8B"/>
    <w:rsid w:val="000B4256"/>
    <w:rsid w:val="000B632C"/>
    <w:rsid w:val="000D1314"/>
    <w:rsid w:val="000D2625"/>
    <w:rsid w:val="000E0CA3"/>
    <w:rsid w:val="000F3433"/>
    <w:rsid w:val="000F36E0"/>
    <w:rsid w:val="00100720"/>
    <w:rsid w:val="00122AD4"/>
    <w:rsid w:val="00131A1C"/>
    <w:rsid w:val="00133B73"/>
    <w:rsid w:val="00142693"/>
    <w:rsid w:val="00153614"/>
    <w:rsid w:val="001572D3"/>
    <w:rsid w:val="00167960"/>
    <w:rsid w:val="00183329"/>
    <w:rsid w:val="0019512F"/>
    <w:rsid w:val="001A1288"/>
    <w:rsid w:val="001B09BD"/>
    <w:rsid w:val="001B52BE"/>
    <w:rsid w:val="001B6478"/>
    <w:rsid w:val="001C540A"/>
    <w:rsid w:val="001C62B6"/>
    <w:rsid w:val="001F7DC7"/>
    <w:rsid w:val="00201C3C"/>
    <w:rsid w:val="00216E98"/>
    <w:rsid w:val="00220A3C"/>
    <w:rsid w:val="00227AF7"/>
    <w:rsid w:val="002349C6"/>
    <w:rsid w:val="00236BDA"/>
    <w:rsid w:val="002545C9"/>
    <w:rsid w:val="0026014A"/>
    <w:rsid w:val="002B1087"/>
    <w:rsid w:val="002B6817"/>
    <w:rsid w:val="002C3C8E"/>
    <w:rsid w:val="002E01F3"/>
    <w:rsid w:val="002F5B10"/>
    <w:rsid w:val="003016EC"/>
    <w:rsid w:val="00305648"/>
    <w:rsid w:val="00322803"/>
    <w:rsid w:val="00333DFD"/>
    <w:rsid w:val="003404CA"/>
    <w:rsid w:val="00355B1C"/>
    <w:rsid w:val="003577A2"/>
    <w:rsid w:val="00396C15"/>
    <w:rsid w:val="003A41EC"/>
    <w:rsid w:val="003B02D9"/>
    <w:rsid w:val="003B0F77"/>
    <w:rsid w:val="003C6944"/>
    <w:rsid w:val="003E244A"/>
    <w:rsid w:val="003E288D"/>
    <w:rsid w:val="00404476"/>
    <w:rsid w:val="004349E6"/>
    <w:rsid w:val="0045272E"/>
    <w:rsid w:val="00455B09"/>
    <w:rsid w:val="00462E1E"/>
    <w:rsid w:val="00463E45"/>
    <w:rsid w:val="00465CE8"/>
    <w:rsid w:val="00473430"/>
    <w:rsid w:val="004901A3"/>
    <w:rsid w:val="00494071"/>
    <w:rsid w:val="004B4583"/>
    <w:rsid w:val="004C3E3F"/>
    <w:rsid w:val="004D72B7"/>
    <w:rsid w:val="004E13D1"/>
    <w:rsid w:val="004E5969"/>
    <w:rsid w:val="005015E4"/>
    <w:rsid w:val="00515909"/>
    <w:rsid w:val="00530B21"/>
    <w:rsid w:val="00542CB3"/>
    <w:rsid w:val="00546872"/>
    <w:rsid w:val="005513EF"/>
    <w:rsid w:val="0055598E"/>
    <w:rsid w:val="005652EA"/>
    <w:rsid w:val="00573DC9"/>
    <w:rsid w:val="005746E5"/>
    <w:rsid w:val="00592822"/>
    <w:rsid w:val="005B4958"/>
    <w:rsid w:val="005B7698"/>
    <w:rsid w:val="005B7D8B"/>
    <w:rsid w:val="005C5BCD"/>
    <w:rsid w:val="005D5259"/>
    <w:rsid w:val="005F4234"/>
    <w:rsid w:val="005F72B8"/>
    <w:rsid w:val="00622259"/>
    <w:rsid w:val="00622FA1"/>
    <w:rsid w:val="006238EF"/>
    <w:rsid w:val="006403F3"/>
    <w:rsid w:val="006411D4"/>
    <w:rsid w:val="00643B36"/>
    <w:rsid w:val="00661704"/>
    <w:rsid w:val="006723F1"/>
    <w:rsid w:val="00680E48"/>
    <w:rsid w:val="0068413E"/>
    <w:rsid w:val="006A2167"/>
    <w:rsid w:val="006C033C"/>
    <w:rsid w:val="006C2150"/>
    <w:rsid w:val="006F3164"/>
    <w:rsid w:val="00732267"/>
    <w:rsid w:val="00734E9B"/>
    <w:rsid w:val="0073794C"/>
    <w:rsid w:val="00744BAA"/>
    <w:rsid w:val="007528A3"/>
    <w:rsid w:val="00775F3D"/>
    <w:rsid w:val="007D295E"/>
    <w:rsid w:val="007D56D8"/>
    <w:rsid w:val="007F7205"/>
    <w:rsid w:val="008220D6"/>
    <w:rsid w:val="0083785D"/>
    <w:rsid w:val="00846DA0"/>
    <w:rsid w:val="00853EB3"/>
    <w:rsid w:val="0085609C"/>
    <w:rsid w:val="00861CE6"/>
    <w:rsid w:val="00864215"/>
    <w:rsid w:val="00865CB4"/>
    <w:rsid w:val="0087597D"/>
    <w:rsid w:val="0087695C"/>
    <w:rsid w:val="00892896"/>
    <w:rsid w:val="008A145A"/>
    <w:rsid w:val="008A7AED"/>
    <w:rsid w:val="008C2E3D"/>
    <w:rsid w:val="008F6F18"/>
    <w:rsid w:val="00913AF8"/>
    <w:rsid w:val="00935348"/>
    <w:rsid w:val="00936D8A"/>
    <w:rsid w:val="0094187E"/>
    <w:rsid w:val="009844D9"/>
    <w:rsid w:val="00987661"/>
    <w:rsid w:val="009A5419"/>
    <w:rsid w:val="009B080D"/>
    <w:rsid w:val="009C263A"/>
    <w:rsid w:val="009C7587"/>
    <w:rsid w:val="009D1C5C"/>
    <w:rsid w:val="009F089C"/>
    <w:rsid w:val="009F10E3"/>
    <w:rsid w:val="00A05BA7"/>
    <w:rsid w:val="00A229B4"/>
    <w:rsid w:val="00A27D10"/>
    <w:rsid w:val="00A44D1F"/>
    <w:rsid w:val="00A647FC"/>
    <w:rsid w:val="00A76311"/>
    <w:rsid w:val="00A822DE"/>
    <w:rsid w:val="00AA1DDF"/>
    <w:rsid w:val="00AA7AC4"/>
    <w:rsid w:val="00AB43C6"/>
    <w:rsid w:val="00AB4BA4"/>
    <w:rsid w:val="00AF04FA"/>
    <w:rsid w:val="00AF1EE3"/>
    <w:rsid w:val="00AF7544"/>
    <w:rsid w:val="00B11E10"/>
    <w:rsid w:val="00B13E62"/>
    <w:rsid w:val="00B167B5"/>
    <w:rsid w:val="00B71AB1"/>
    <w:rsid w:val="00B82725"/>
    <w:rsid w:val="00B92CD7"/>
    <w:rsid w:val="00BB562E"/>
    <w:rsid w:val="00BD3233"/>
    <w:rsid w:val="00BD40EB"/>
    <w:rsid w:val="00C0249D"/>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58A8"/>
    <w:rsid w:val="00D20052"/>
    <w:rsid w:val="00D2507C"/>
    <w:rsid w:val="00D256C1"/>
    <w:rsid w:val="00D327EA"/>
    <w:rsid w:val="00D34DBA"/>
    <w:rsid w:val="00D52B25"/>
    <w:rsid w:val="00D66A0F"/>
    <w:rsid w:val="00DA51DD"/>
    <w:rsid w:val="00DB7CFB"/>
    <w:rsid w:val="00DD179F"/>
    <w:rsid w:val="00DD5022"/>
    <w:rsid w:val="00DF07D0"/>
    <w:rsid w:val="00DF1176"/>
    <w:rsid w:val="00DF416D"/>
    <w:rsid w:val="00E05329"/>
    <w:rsid w:val="00E12B6C"/>
    <w:rsid w:val="00E62945"/>
    <w:rsid w:val="00E644B4"/>
    <w:rsid w:val="00E70432"/>
    <w:rsid w:val="00EA3911"/>
    <w:rsid w:val="00EB370A"/>
    <w:rsid w:val="00EC2549"/>
    <w:rsid w:val="00ED1FAE"/>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0D5B8349-AE12-4DC6-85BB-9417ACE2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86EB-33B4-477A-A523-972D0C40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6902</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4</cp:revision>
  <cp:lastPrinted>2014-03-03T11:29:00Z</cp:lastPrinted>
  <dcterms:created xsi:type="dcterms:W3CDTF">2014-03-03T11:27:00Z</dcterms:created>
  <dcterms:modified xsi:type="dcterms:W3CDTF">2020-06-04T09:48:00Z</dcterms:modified>
</cp:coreProperties>
</file>