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AF025" w14:textId="41957C51" w:rsidR="008002F6" w:rsidRDefault="00AB5C58" w:rsidP="009548D6">
      <w:pPr>
        <w:pStyle w:val="berschrift1"/>
        <w:spacing w:before="240" w:after="240"/>
        <w:rPr>
          <w:sz w:val="32"/>
        </w:rPr>
      </w:pPr>
      <w:r>
        <w:rPr>
          <w:sz w:val="32"/>
        </w:rPr>
        <w:t xml:space="preserve">Konjunktionen </w:t>
      </w:r>
      <w:r w:rsidR="00001D9E">
        <w:rPr>
          <w:sz w:val="32"/>
        </w:rPr>
        <w:t>verdeutlichen argumentative Strukturen</w:t>
      </w:r>
    </w:p>
    <w:p w14:paraId="5E8C4E47" w14:textId="4619CB7D" w:rsidR="00001D9E" w:rsidRDefault="00A758D5" w:rsidP="00A758D5">
      <w:pPr>
        <w:spacing w:before="100" w:beforeAutospacing="1" w:after="100" w:afterAutospacing="1" w:line="240" w:lineRule="auto"/>
        <w:rPr>
          <w:rFonts w:asciiTheme="majorHAnsi" w:hAnsiTheme="majorHAnsi"/>
        </w:rPr>
      </w:pPr>
      <w:r w:rsidRPr="00A758D5">
        <w:rPr>
          <w:rFonts w:asciiTheme="majorHAnsi" w:hAnsiTheme="majorHAnsi"/>
        </w:rPr>
        <w:t xml:space="preserve">Konjunktionen </w:t>
      </w:r>
      <w:r w:rsidR="00001D9E">
        <w:rPr>
          <w:rFonts w:asciiTheme="majorHAnsi" w:hAnsiTheme="majorHAnsi"/>
        </w:rPr>
        <w:t>verdeutlichen argumentative Strukturen. Sie signalisieren z. B., ob sich bei einer Aussage um eine Begründung (Argument)  für eine These (Behauptung), ein Beispiel oder eine Schlussfolgerung handelt.</w:t>
      </w:r>
      <w:r w:rsidR="00001D9E">
        <w:rPr>
          <w:rFonts w:asciiTheme="majorHAnsi" w:hAnsiTheme="majorHAnsi"/>
        </w:rPr>
        <w:br/>
        <w:t>Im vorliegenden Beispiel können Sie diese Bedeutung erkennen.</w:t>
      </w:r>
    </w:p>
    <w:p w14:paraId="66A04290" w14:textId="22962B39" w:rsidR="00001D9E" w:rsidRPr="00001D9E" w:rsidRDefault="00001D9E" w:rsidP="00001D9E">
      <w:pPr>
        <w:spacing w:before="100" w:beforeAutospacing="1" w:after="100" w:afterAutospacing="1" w:line="240" w:lineRule="auto"/>
        <w:jc w:val="center"/>
        <w:rPr>
          <w:b/>
          <w:sz w:val="28"/>
          <w:szCs w:val="28"/>
        </w:rPr>
      </w:pPr>
      <w:r w:rsidRPr="00001D9E">
        <w:rPr>
          <w:b/>
          <w:sz w:val="28"/>
          <w:szCs w:val="28"/>
        </w:rPr>
        <w:t>Pro und Contra Organspende</w:t>
      </w:r>
    </w:p>
    <w:tbl>
      <w:tblPr>
        <w:tblW w:w="5000" w:type="pct"/>
        <w:jc w:val="center"/>
        <w:tblCellMar>
          <w:left w:w="71" w:type="dxa"/>
          <w:right w:w="71" w:type="dxa"/>
        </w:tblCellMar>
        <w:tblLook w:val="04A0" w:firstRow="1" w:lastRow="0" w:firstColumn="1" w:lastColumn="0" w:noHBand="0" w:noVBand="1"/>
      </w:tblPr>
      <w:tblGrid>
        <w:gridCol w:w="4536"/>
        <w:gridCol w:w="4536"/>
      </w:tblGrid>
      <w:tr w:rsidR="00710A91" w:rsidRPr="00001D9E" w14:paraId="282DD81F" w14:textId="77777777" w:rsidTr="00710A91">
        <w:trPr>
          <w:jc w:val="center"/>
        </w:trPr>
        <w:tc>
          <w:tcPr>
            <w:tcW w:w="2500" w:type="pct"/>
          </w:tcPr>
          <w:p w14:paraId="63973A36" w14:textId="77777777" w:rsidR="00710A91" w:rsidRPr="00001D9E" w:rsidRDefault="00710A91" w:rsidP="00EB37DC">
            <w:pPr>
              <w:ind w:left="71" w:right="70"/>
              <w:jc w:val="both"/>
              <w:rPr>
                <w:rFonts w:ascii="Arial" w:hAnsi="Arial"/>
                <w:b/>
              </w:rPr>
            </w:pPr>
            <w:r w:rsidRPr="00001D9E">
              <w:rPr>
                <w:rFonts w:ascii="Arial" w:hAnsi="Arial"/>
                <w:b/>
              </w:rPr>
              <w:t>PRO</w:t>
            </w:r>
          </w:p>
          <w:p w14:paraId="3BA1081A" w14:textId="1DC5F914" w:rsidR="00710A91" w:rsidRPr="00001D9E" w:rsidRDefault="00710A91" w:rsidP="00EB37DC">
            <w:pPr>
              <w:ind w:left="71" w:right="70"/>
              <w:jc w:val="both"/>
              <w:rPr>
                <w:rFonts w:ascii="Arial" w:hAnsi="Arial"/>
              </w:rPr>
            </w:pPr>
            <w:r w:rsidRPr="00001D9E">
              <w:rPr>
                <w:rFonts w:ascii="Arial" w:hAnsi="Arial"/>
              </w:rPr>
              <w:t>Ich bin für die Organspende nach dem Tode</w:t>
            </w:r>
            <w:r>
              <w:rPr>
                <w:rFonts w:ascii="Arial" w:hAnsi="Arial"/>
              </w:rPr>
              <w:t>. Aus diesem Grunde</w:t>
            </w:r>
            <w:r w:rsidRPr="00001D9E">
              <w:rPr>
                <w:rFonts w:ascii="Arial" w:hAnsi="Arial"/>
              </w:rPr>
              <w:t xml:space="preserve"> </w:t>
            </w:r>
            <w:r>
              <w:rPr>
                <w:rFonts w:ascii="Arial" w:hAnsi="Arial"/>
              </w:rPr>
              <w:t xml:space="preserve">habe ich </w:t>
            </w:r>
            <w:r w:rsidRPr="00001D9E">
              <w:rPr>
                <w:rFonts w:ascii="Arial" w:hAnsi="Arial"/>
              </w:rPr>
              <w:t>immer einen O</w:t>
            </w:r>
            <w:r>
              <w:rPr>
                <w:rFonts w:ascii="Arial" w:hAnsi="Arial"/>
              </w:rPr>
              <w:t>r</w:t>
            </w:r>
            <w:r w:rsidRPr="00001D9E">
              <w:rPr>
                <w:rFonts w:ascii="Arial" w:hAnsi="Arial"/>
              </w:rPr>
              <w:t xml:space="preserve">ganspendeausweis </w:t>
            </w:r>
            <w:r>
              <w:rPr>
                <w:rFonts w:ascii="Arial" w:hAnsi="Arial"/>
              </w:rPr>
              <w:t>dabei</w:t>
            </w:r>
            <w:r w:rsidRPr="00001D9E">
              <w:rPr>
                <w:rFonts w:ascii="Arial" w:hAnsi="Arial"/>
              </w:rPr>
              <w:t>.</w:t>
            </w:r>
            <w:r>
              <w:rPr>
                <w:rFonts w:ascii="Arial" w:hAnsi="Arial"/>
              </w:rPr>
              <w:t xml:space="preserve"> Man kann ja nie wissen.</w:t>
            </w:r>
            <w:r w:rsidRPr="00001D9E">
              <w:rPr>
                <w:rFonts w:ascii="Arial" w:hAnsi="Arial"/>
              </w:rPr>
              <w:t xml:space="preserve"> </w:t>
            </w:r>
            <w:r>
              <w:rPr>
                <w:rFonts w:ascii="Arial" w:hAnsi="Arial"/>
              </w:rPr>
              <w:t>Außerdem bin ich ja selbst Arzt und deshalb weiß ich nur zu gut, dass Tausende von kranken Menschen ihre letzten Hoffnungen auf eine Organspende setzen.</w:t>
            </w:r>
            <w:r w:rsidRPr="00001D9E">
              <w:rPr>
                <w:rFonts w:ascii="Arial" w:hAnsi="Arial"/>
              </w:rPr>
              <w:t xml:space="preserve"> </w:t>
            </w:r>
            <w:r>
              <w:rPr>
                <w:rFonts w:ascii="Arial" w:hAnsi="Arial"/>
              </w:rPr>
              <w:t>Ich habe da keine Zweifel an einer Diagnose, die den Hirntod des möglichen Organspenders feststellt, denn schließlich ist gesetzlich vorgeschrieben, dass unabhängige Ärzte, die weder an der Organentnahme noch der -transplantation beteiligt sind, diese Diagnose erstellen. Das sind medizinische Fachleute, in der Regel handelt es sich um Neurologen oder Neurochirurgen. Die Diagnose Hirntod ist daher für mich endgültig. Um die Engpässe bei Organen, die zur Transplantation kommen können zu überwinden, bejahe ich auch die Widerspruchslösung.</w:t>
            </w:r>
          </w:p>
          <w:p w14:paraId="2BC0A929" w14:textId="77777777" w:rsidR="00710A91" w:rsidRPr="00001D9E" w:rsidRDefault="00710A91" w:rsidP="00EB37DC">
            <w:pPr>
              <w:ind w:left="71" w:right="70"/>
              <w:jc w:val="both"/>
              <w:rPr>
                <w:rFonts w:ascii="Arial" w:hAnsi="Arial"/>
              </w:rPr>
            </w:pPr>
          </w:p>
        </w:tc>
        <w:tc>
          <w:tcPr>
            <w:tcW w:w="2500" w:type="pct"/>
            <w:hideMark/>
          </w:tcPr>
          <w:p w14:paraId="53405D18" w14:textId="77777777" w:rsidR="00710A91" w:rsidRPr="00001D9E" w:rsidRDefault="00710A91" w:rsidP="00EB37DC">
            <w:pPr>
              <w:ind w:left="72" w:right="70"/>
              <w:jc w:val="both"/>
              <w:rPr>
                <w:rFonts w:ascii="Arial" w:hAnsi="Arial"/>
                <w:b/>
              </w:rPr>
            </w:pPr>
            <w:r w:rsidRPr="00001D9E">
              <w:rPr>
                <w:rFonts w:ascii="Arial" w:hAnsi="Arial"/>
                <w:b/>
              </w:rPr>
              <w:t>CONTRA</w:t>
            </w:r>
          </w:p>
          <w:p w14:paraId="3A7177DF" w14:textId="70C860A4" w:rsidR="00710A91" w:rsidRDefault="00710A91" w:rsidP="00EB37DC">
            <w:pPr>
              <w:ind w:left="72" w:right="70"/>
              <w:jc w:val="both"/>
              <w:rPr>
                <w:rFonts w:ascii="Arial" w:hAnsi="Arial"/>
              </w:rPr>
            </w:pPr>
            <w:r>
              <w:rPr>
                <w:rFonts w:ascii="Arial" w:hAnsi="Arial"/>
              </w:rPr>
              <w:t>Ich glaube nicht, dass sogenannte hirntote Menschen tot sind. Sterben ist ein Prozess und auch hirntote Menschen sind mittendrin in ihrem eigenen Sterben. Wer ihnen in dieser Phase des Sterbens Organe entnimmt, greift massiv in das Sterben eines Menschen ein. Aus diesem Grunde kann ich die Organspende nicht befürworten. Diese Einstellung beruht auch auf meiner Überzeugung, dass es zur Würde eines Menschen gehört, im eigenen Leib zu Ende sterben zu können und zu dürfen. Das gebietet in meinen Augen die Humanität. Dass ich aus diesem Grund auch ein entschiedener Gegner der sogenannten Widerspruchslösung bin, versteht sich von selbst.</w:t>
            </w:r>
          </w:p>
          <w:p w14:paraId="67404898" w14:textId="56A22C23" w:rsidR="00710A91" w:rsidRPr="00001D9E" w:rsidRDefault="00710A91" w:rsidP="00EB37DC">
            <w:pPr>
              <w:ind w:left="72" w:right="70"/>
              <w:jc w:val="both"/>
              <w:rPr>
                <w:rFonts w:ascii="Arial" w:hAnsi="Arial"/>
              </w:rPr>
            </w:pPr>
          </w:p>
        </w:tc>
      </w:tr>
    </w:tbl>
    <w:p w14:paraId="5987982F" w14:textId="1F84A982" w:rsidR="000A1B55" w:rsidRPr="00A758D5" w:rsidRDefault="000A1B55" w:rsidP="00A758D5">
      <w:pPr>
        <w:pStyle w:val="StandardWeb"/>
        <w:ind w:right="142"/>
        <w:rPr>
          <w:rFonts w:ascii="Arial" w:hAnsi="Arial" w:cs="Arial"/>
          <w:sz w:val="22"/>
          <w:szCs w:val="22"/>
        </w:rPr>
      </w:pPr>
      <w:r w:rsidRPr="00204CBF">
        <w:rPr>
          <w:rFonts w:asciiTheme="minorHAnsi" w:hAnsiTheme="minorHAnsi"/>
          <w:b/>
        </w:rPr>
        <w:t>Arbeitsanregung</w:t>
      </w:r>
    </w:p>
    <w:p w14:paraId="6CD5FD05" w14:textId="77777777" w:rsidR="00001D9E" w:rsidRDefault="00001D9E" w:rsidP="00001D9E">
      <w:pPr>
        <w:pStyle w:val="Listenabsatz"/>
        <w:numPr>
          <w:ilvl w:val="0"/>
          <w:numId w:val="17"/>
        </w:numPr>
        <w:spacing w:after="0" w:line="240" w:lineRule="auto"/>
      </w:pPr>
      <w:r>
        <w:t>Unterstreichen Sie im Text die Verknüpfungswörter.</w:t>
      </w:r>
    </w:p>
    <w:p w14:paraId="6858AAD1" w14:textId="77777777" w:rsidR="00001D9E" w:rsidRDefault="00001D9E" w:rsidP="00001D9E">
      <w:pPr>
        <w:pStyle w:val="Listenabsatz"/>
        <w:numPr>
          <w:ilvl w:val="0"/>
          <w:numId w:val="17"/>
        </w:numPr>
        <w:spacing w:after="0" w:line="240" w:lineRule="auto"/>
      </w:pPr>
      <w:r>
        <w:t>Bestimmen Sie danach die Art der Konjunktionen nach Form, Verwendung und Bedeutung.</w:t>
      </w:r>
    </w:p>
    <w:p w14:paraId="2C9DF376" w14:textId="77777777" w:rsidR="00001D9E" w:rsidRDefault="00001D9E" w:rsidP="00001D9E">
      <w:pPr>
        <w:pStyle w:val="Listenabsatz"/>
        <w:numPr>
          <w:ilvl w:val="0"/>
          <w:numId w:val="17"/>
        </w:numPr>
        <w:spacing w:after="0" w:line="240" w:lineRule="auto"/>
      </w:pPr>
      <w:r>
        <w:t>Arbeiten Sie heraus, mit welchen Argumenten die beiden Personen ihre Haltung zur Organspende begründen.</w:t>
      </w:r>
    </w:p>
    <w:p w14:paraId="4291C00C" w14:textId="6F4F316D" w:rsidR="00001D9E" w:rsidRDefault="00001D9E" w:rsidP="00001D9E">
      <w:pPr>
        <w:pStyle w:val="Listenabsatz"/>
        <w:numPr>
          <w:ilvl w:val="0"/>
          <w:numId w:val="17"/>
        </w:numPr>
        <w:spacing w:after="0" w:line="240" w:lineRule="auto"/>
      </w:pPr>
      <w:r>
        <w:t>Nehmen Sie selbst zur Problematik der Organspende Stellung</w:t>
      </w:r>
      <w:r w:rsidR="00710A91" w:rsidRPr="00710A91">
        <w:t xml:space="preserve"> </w:t>
      </w:r>
      <w:r w:rsidR="00710A91">
        <w:t>und formulieren Sie je ein weiteres Pro- und Contra-Argument nach dem Muster der erweiterten Argumentation.</w:t>
      </w:r>
      <w:r>
        <w:t>.</w:t>
      </w:r>
    </w:p>
    <w:p w14:paraId="6C815F74" w14:textId="100ABEA0" w:rsidR="00001D9E" w:rsidRDefault="00001D9E" w:rsidP="00001D9E">
      <w:pPr>
        <w:pStyle w:val="Listenabsatz"/>
        <w:numPr>
          <w:ilvl w:val="0"/>
          <w:numId w:val="17"/>
        </w:numPr>
        <w:spacing w:after="0" w:line="240" w:lineRule="auto"/>
      </w:pPr>
      <w:r>
        <w:t>Informieren Sie sich im Internet</w:t>
      </w:r>
      <w:r>
        <w:t xml:space="preserve"> </w:t>
      </w:r>
      <w:r w:rsidR="00710A91">
        <w:t>über die Widerspruchslösung und formulieren Sie mit eine eigene Argumentation, die Sie mit den dafür geeigneten Konjunktionen versehen.</w:t>
      </w:r>
    </w:p>
    <w:p w14:paraId="073FB853" w14:textId="1F8106D2" w:rsidR="00DB6A89" w:rsidRDefault="00DB6A89" w:rsidP="00DB6A89">
      <w:pPr>
        <w:spacing w:after="0" w:line="240" w:lineRule="auto"/>
      </w:pPr>
    </w:p>
    <w:p w14:paraId="33EF6E12" w14:textId="035E82D5" w:rsidR="00DB6A89" w:rsidRDefault="00DB6A89" w:rsidP="00DB6A89">
      <w:pPr>
        <w:spacing w:after="0" w:line="240" w:lineRule="auto"/>
      </w:pPr>
    </w:p>
    <w:p w14:paraId="053BD857" w14:textId="77777777" w:rsidR="00DB6A89" w:rsidRPr="00870F73" w:rsidRDefault="00DB6A89" w:rsidP="00DB6A89">
      <w:pPr>
        <w:spacing w:line="240" w:lineRule="auto"/>
        <w:rPr>
          <w:rFonts w:asciiTheme="majorHAnsi" w:hAnsiTheme="majorHAnsi"/>
          <w:b/>
          <w:sz w:val="32"/>
          <w:szCs w:val="32"/>
        </w:rPr>
      </w:pPr>
      <w:r w:rsidRPr="00B45BD6">
        <w:rPr>
          <w:rFonts w:asciiTheme="majorHAnsi" w:hAnsiTheme="majorHAnsi"/>
          <w:b/>
          <w:bCs/>
          <w:color w:val="4F81BD" w:themeColor="accent1"/>
          <w:sz w:val="32"/>
          <w:szCs w:val="28"/>
        </w:rPr>
        <w:t>Weil – Denn – Wie– Daher</w:t>
      </w:r>
      <w:r w:rsidRPr="00B45BD6">
        <w:rPr>
          <w:b/>
          <w:bCs/>
          <w:sz w:val="32"/>
          <w:szCs w:val="28"/>
        </w:rPr>
        <w:br/>
      </w:r>
      <w:r w:rsidRPr="009168F9">
        <w:rPr>
          <w:rFonts w:asciiTheme="majorHAnsi" w:hAnsiTheme="majorHAnsi"/>
          <w:sz w:val="24"/>
          <w:szCs w:val="20"/>
        </w:rPr>
        <w:t>So behält man den Überblick beim Argumentieren</w:t>
      </w:r>
    </w:p>
    <w:p w14:paraId="63E72C76" w14:textId="3CFA2EC4" w:rsidR="00DB6A89" w:rsidRPr="00870F73" w:rsidRDefault="00DB6A89" w:rsidP="00B45BD6">
      <w:pPr>
        <w:spacing w:after="0" w:line="360" w:lineRule="auto"/>
        <w:jc w:val="both"/>
        <w:rPr>
          <w:rFonts w:asciiTheme="majorHAnsi" w:hAnsiTheme="majorHAnsi"/>
          <w:sz w:val="20"/>
          <w:szCs w:val="20"/>
        </w:rPr>
      </w:pPr>
      <w:r w:rsidRPr="00870F73">
        <w:rPr>
          <w:rFonts w:asciiTheme="majorHAnsi" w:hAnsiTheme="majorHAnsi"/>
          <w:sz w:val="20"/>
          <w:szCs w:val="20"/>
        </w:rPr>
        <w:t xml:space="preserve">Beim schriftlichen Argumentieren kommt es darauf </w:t>
      </w:r>
      <w:r w:rsidR="00B45BD6">
        <w:rPr>
          <w:rFonts w:asciiTheme="majorHAnsi" w:hAnsiTheme="majorHAnsi"/>
          <w:sz w:val="20"/>
          <w:szCs w:val="20"/>
        </w:rPr>
        <w:t>an</w:t>
      </w:r>
      <w:r w:rsidRPr="00870F73">
        <w:rPr>
          <w:rFonts w:asciiTheme="majorHAnsi" w:hAnsiTheme="majorHAnsi"/>
          <w:sz w:val="20"/>
          <w:szCs w:val="20"/>
        </w:rPr>
        <w:t>, seine Meinung verständlich und überzeugend zu entfalten. Wer zu einem Problem eine bestimmte Behauptung (</w:t>
      </w:r>
      <w:r w:rsidRPr="00870F73">
        <w:rPr>
          <w:rFonts w:asciiTheme="majorHAnsi" w:hAnsiTheme="majorHAnsi"/>
          <w:b/>
          <w:sz w:val="20"/>
          <w:szCs w:val="20"/>
        </w:rPr>
        <w:t>These</w:t>
      </w:r>
      <w:r w:rsidRPr="00870F73">
        <w:rPr>
          <w:rFonts w:asciiTheme="majorHAnsi" w:hAnsiTheme="majorHAnsi"/>
          <w:sz w:val="20"/>
          <w:szCs w:val="20"/>
        </w:rPr>
        <w:t xml:space="preserve">) aufstellt, muss diese zunächst einmal </w:t>
      </w:r>
      <w:r w:rsidRPr="00870F73">
        <w:rPr>
          <w:rFonts w:asciiTheme="majorHAnsi" w:hAnsiTheme="majorHAnsi"/>
          <w:b/>
          <w:sz w:val="20"/>
          <w:szCs w:val="20"/>
        </w:rPr>
        <w:t xml:space="preserve">mit einem Argument begründen </w:t>
      </w:r>
      <w:r w:rsidRPr="00870F73">
        <w:rPr>
          <w:rFonts w:asciiTheme="majorHAnsi" w:hAnsiTheme="majorHAnsi"/>
          <w:sz w:val="20"/>
          <w:szCs w:val="20"/>
        </w:rPr>
        <w:t>(Basisargument). In einem zweiten Schritt wird dieser Begründungszusammenhang von These und Argument (einfache Argumentation) gestützt. Dazu wird das Basisargument selbst noch einmal begründet. (</w:t>
      </w:r>
      <w:r w:rsidRPr="00870F73">
        <w:rPr>
          <w:rFonts w:asciiTheme="majorHAnsi" w:hAnsiTheme="majorHAnsi"/>
          <w:b/>
          <w:sz w:val="20"/>
          <w:szCs w:val="20"/>
        </w:rPr>
        <w:t>Beweis</w:t>
      </w:r>
      <w:r w:rsidRPr="00870F73">
        <w:rPr>
          <w:rFonts w:asciiTheme="majorHAnsi" w:hAnsiTheme="majorHAnsi"/>
          <w:sz w:val="20"/>
          <w:szCs w:val="20"/>
        </w:rPr>
        <w:t xml:space="preserve">/Beleg). Die Begründung des Basisarguments soll beweisen, dass das Argument stimmt. Am besten fügt man dann ein </w:t>
      </w:r>
      <w:r w:rsidRPr="00870F73">
        <w:rPr>
          <w:rFonts w:asciiTheme="majorHAnsi" w:hAnsiTheme="majorHAnsi"/>
          <w:b/>
          <w:sz w:val="20"/>
          <w:szCs w:val="20"/>
        </w:rPr>
        <w:t>Beispiel</w:t>
      </w:r>
      <w:r w:rsidRPr="00870F73">
        <w:rPr>
          <w:rFonts w:asciiTheme="majorHAnsi" w:hAnsiTheme="majorHAnsi"/>
          <w:sz w:val="20"/>
          <w:szCs w:val="20"/>
        </w:rPr>
        <w:t xml:space="preserve"> an, das die These und den danach entwickelten Begründungszusammenhang von Argument und Beweis verdeutlicht. Am Ende sollte eine </w:t>
      </w:r>
      <w:r w:rsidRPr="00870F73">
        <w:rPr>
          <w:rFonts w:asciiTheme="majorHAnsi" w:hAnsiTheme="majorHAnsi"/>
          <w:b/>
          <w:sz w:val="20"/>
          <w:szCs w:val="20"/>
        </w:rPr>
        <w:t>Schlussfolgerung</w:t>
      </w:r>
      <w:r w:rsidRPr="00870F73">
        <w:rPr>
          <w:rFonts w:asciiTheme="majorHAnsi" w:hAnsiTheme="majorHAnsi"/>
          <w:sz w:val="20"/>
          <w:szCs w:val="20"/>
        </w:rPr>
        <w:t xml:space="preserve"> gezogen werden. Sie soll die These bestätigen, aber zugleich auch einen gedanklichen Schritt weiterführen. So kann man z. B. auf die Konsequenzen verweisen, die sich aus der These ergeben könnten. </w:t>
      </w:r>
    </w:p>
    <w:p w14:paraId="36A1A72D" w14:textId="77777777" w:rsidR="00DB6A89" w:rsidRPr="00870F73" w:rsidRDefault="00DB6A89" w:rsidP="00B45BD6">
      <w:pPr>
        <w:spacing w:after="0" w:line="360" w:lineRule="auto"/>
        <w:jc w:val="both"/>
        <w:rPr>
          <w:rFonts w:asciiTheme="majorHAnsi" w:hAnsiTheme="majorHAnsi"/>
          <w:sz w:val="20"/>
          <w:szCs w:val="20"/>
        </w:rPr>
      </w:pPr>
      <w:r w:rsidRPr="00870F73">
        <w:rPr>
          <w:rFonts w:asciiTheme="majorHAnsi" w:hAnsiTheme="majorHAnsi"/>
          <w:sz w:val="20"/>
          <w:szCs w:val="20"/>
        </w:rPr>
        <w:t xml:space="preserve">Aber - auch wenn die Argumentation noch so überzeugend gestaltet ist: Ob sie den anderen wirklich </w:t>
      </w:r>
      <w:r w:rsidRPr="00870F73">
        <w:rPr>
          <w:rFonts w:asciiTheme="majorHAnsi" w:hAnsiTheme="majorHAnsi"/>
          <w:b/>
          <w:sz w:val="20"/>
          <w:szCs w:val="20"/>
        </w:rPr>
        <w:t>überz</w:t>
      </w:r>
      <w:bookmarkStart w:id="0" w:name="_GoBack"/>
      <w:bookmarkEnd w:id="0"/>
      <w:r w:rsidRPr="00870F73">
        <w:rPr>
          <w:rFonts w:asciiTheme="majorHAnsi" w:hAnsiTheme="majorHAnsi"/>
          <w:b/>
          <w:sz w:val="20"/>
          <w:szCs w:val="20"/>
        </w:rPr>
        <w:t>eugen</w:t>
      </w:r>
      <w:r w:rsidRPr="00870F73">
        <w:rPr>
          <w:rFonts w:asciiTheme="majorHAnsi" w:hAnsiTheme="majorHAnsi"/>
          <w:sz w:val="20"/>
          <w:szCs w:val="20"/>
        </w:rPr>
        <w:t xml:space="preserve"> kann, hängt vor allem von dem anderen selbst ab.</w:t>
      </w:r>
    </w:p>
    <w:p w14:paraId="729729EF" w14:textId="77777777" w:rsidR="00DB6A89" w:rsidRPr="00870F73" w:rsidRDefault="00DB6A89" w:rsidP="00DB6A89">
      <w:pPr>
        <w:spacing w:after="0" w:line="240" w:lineRule="auto"/>
        <w:jc w:val="both"/>
        <w:rPr>
          <w:rFonts w:asciiTheme="majorHAnsi" w:hAnsiTheme="majorHAnsi"/>
          <w:sz w:val="20"/>
          <w:szCs w:val="20"/>
        </w:rPr>
      </w:pPr>
    </w:p>
    <w:p w14:paraId="2C30A5B2" w14:textId="1A57538D" w:rsidR="00DB6A89" w:rsidRPr="00870F73" w:rsidRDefault="00DB6A89" w:rsidP="00DB6A89">
      <w:pPr>
        <w:spacing w:after="120"/>
        <w:rPr>
          <w:rFonts w:asciiTheme="majorHAnsi" w:hAnsiTheme="majorHAnsi"/>
          <w:sz w:val="20"/>
          <w:szCs w:val="20"/>
        </w:rPr>
      </w:pPr>
      <w:r w:rsidRPr="00870F73">
        <w:rPr>
          <w:rFonts w:asciiTheme="majorHAnsi" w:hAnsiTheme="majorHAnsi"/>
          <w:sz w:val="20"/>
          <w:szCs w:val="20"/>
        </w:rPr>
        <w:t xml:space="preserve">Das Schaubild stellt dieses </w:t>
      </w:r>
      <w:hyperlink r:id="rId8" w:history="1">
        <w:r w:rsidRPr="00870F73">
          <w:rPr>
            <w:rStyle w:val="Hyperlink"/>
            <w:rFonts w:asciiTheme="majorHAnsi" w:hAnsiTheme="majorHAnsi"/>
            <w:b/>
            <w:sz w:val="20"/>
            <w:szCs w:val="20"/>
            <w:u w:val="none"/>
          </w:rPr>
          <w:t>Modell der erweiterten Argumentation</w:t>
        </w:r>
      </w:hyperlink>
      <w:r w:rsidRPr="00870F73">
        <w:rPr>
          <w:rFonts w:asciiTheme="majorHAnsi" w:hAnsiTheme="majorHAnsi"/>
          <w:sz w:val="20"/>
          <w:szCs w:val="20"/>
        </w:rPr>
        <w:t xml:space="preserve"> (</w:t>
      </w:r>
      <w:r w:rsidRPr="00870F73">
        <w:rPr>
          <w:rFonts w:asciiTheme="majorHAnsi" w:hAnsiTheme="majorHAnsi"/>
          <w:b/>
          <w:sz w:val="20"/>
          <w:szCs w:val="20"/>
        </w:rPr>
        <w:t>WDWD-Schema</w:t>
      </w:r>
      <w:r w:rsidRPr="00870F73">
        <w:rPr>
          <w:rFonts w:asciiTheme="majorHAnsi" w:hAnsiTheme="majorHAnsi"/>
          <w:sz w:val="20"/>
          <w:szCs w:val="20"/>
        </w:rPr>
        <w:t xml:space="preserve">) dar: </w:t>
      </w:r>
    </w:p>
    <w:p w14:paraId="6151587B" w14:textId="232CFE79" w:rsidR="00DB6A89" w:rsidRPr="00870F73" w:rsidRDefault="00B45BD6" w:rsidP="00DB6A89">
      <w:pPr>
        <w:rPr>
          <w:rFonts w:asciiTheme="majorHAnsi" w:hAnsiTheme="majorHAnsi"/>
          <w:sz w:val="20"/>
          <w:szCs w:val="20"/>
        </w:rPr>
      </w:pPr>
      <w:r>
        <w:rPr>
          <w:rFonts w:asciiTheme="majorHAnsi" w:hAnsiTheme="majorHAnsi"/>
          <w:noProof/>
          <w:sz w:val="20"/>
          <w:szCs w:val="20"/>
        </w:rPr>
        <w:object w:dxaOrig="1440" w:dyaOrig="1440" w14:anchorId="529E7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9.35pt;margin-top:4.45pt;width:305.15pt;height:241.15pt;z-index:251658240;mso-position-horizontal-relative:text;mso-position-vertical-relative:text" fillcolor="window">
            <v:imagedata r:id="rId9" o:title=""/>
            <w10:wrap type="square" side="right"/>
          </v:shape>
          <o:OLEObject Type="Embed" ProgID="Word.Picture.8" ShapeID="_x0000_s1026" DrawAspect="Content" ObjectID="_1606375885" r:id="rId10"/>
        </w:object>
      </w:r>
      <w:r w:rsidR="00DB6A89">
        <w:rPr>
          <w:rFonts w:asciiTheme="majorHAnsi" w:hAnsiTheme="majorHAnsi"/>
          <w:sz w:val="20"/>
          <w:szCs w:val="20"/>
        </w:rPr>
        <w:br w:type="textWrapping" w:clear="all"/>
      </w:r>
    </w:p>
    <w:p w14:paraId="08BC5714" w14:textId="77777777" w:rsidR="00DB6A89" w:rsidRPr="009168F9" w:rsidRDefault="00DB6A89" w:rsidP="00B45BD6">
      <w:pPr>
        <w:spacing w:after="0" w:line="360" w:lineRule="auto"/>
        <w:rPr>
          <w:rFonts w:asciiTheme="majorHAnsi" w:hAnsiTheme="majorHAnsi"/>
          <w:sz w:val="20"/>
          <w:szCs w:val="20"/>
        </w:rPr>
      </w:pPr>
      <w:r w:rsidRPr="009168F9">
        <w:rPr>
          <w:rFonts w:asciiTheme="majorHAnsi" w:hAnsiTheme="majorHAnsi"/>
          <w:sz w:val="20"/>
          <w:szCs w:val="20"/>
        </w:rPr>
        <w:t xml:space="preserve">Wer noch nicht so viel Erfahrung beim schriftlichen Argumentieren hat oder sich dabei verbessern will, sollte beim Schreiben nach diesem Modell auf jeden Fall – zumindest eine gewisse Zeit lang – die entsprechenden </w:t>
      </w:r>
      <w:hyperlink r:id="rId11" w:history="1">
        <w:r w:rsidRPr="009168F9">
          <w:rPr>
            <w:rStyle w:val="Hyperlink"/>
            <w:rFonts w:asciiTheme="majorHAnsi" w:hAnsiTheme="majorHAnsi"/>
            <w:b/>
            <w:sz w:val="20"/>
            <w:szCs w:val="20"/>
            <w:u w:val="none"/>
          </w:rPr>
          <w:t>Verknüpfungswörter</w:t>
        </w:r>
      </w:hyperlink>
      <w:r w:rsidRPr="009168F9">
        <w:rPr>
          <w:rFonts w:asciiTheme="majorHAnsi" w:hAnsiTheme="majorHAnsi"/>
          <w:b/>
          <w:sz w:val="20"/>
          <w:szCs w:val="20"/>
        </w:rPr>
        <w:t xml:space="preserve"> </w:t>
      </w:r>
      <w:r w:rsidRPr="009168F9">
        <w:rPr>
          <w:rFonts w:asciiTheme="majorHAnsi" w:hAnsiTheme="majorHAnsi"/>
          <w:sz w:val="20"/>
          <w:szCs w:val="20"/>
        </w:rPr>
        <w:t>(</w:t>
      </w:r>
      <w:hyperlink r:id="rId12" w:history="1">
        <w:r w:rsidRPr="009168F9">
          <w:rPr>
            <w:rStyle w:val="Hyperlink"/>
            <w:rFonts w:asciiTheme="majorHAnsi" w:hAnsiTheme="majorHAnsi"/>
            <w:sz w:val="20"/>
            <w:szCs w:val="20"/>
            <w:u w:val="none"/>
          </w:rPr>
          <w:t>Konjunktionen</w:t>
        </w:r>
      </w:hyperlink>
      <w:r w:rsidRPr="009168F9">
        <w:rPr>
          <w:rFonts w:asciiTheme="majorHAnsi" w:hAnsiTheme="majorHAnsi"/>
          <w:sz w:val="20"/>
          <w:szCs w:val="20"/>
        </w:rPr>
        <w:t>) (</w:t>
      </w:r>
      <w:r w:rsidRPr="009168F9">
        <w:rPr>
          <w:rFonts w:asciiTheme="majorHAnsi" w:hAnsiTheme="majorHAnsi"/>
          <w:b/>
          <w:sz w:val="20"/>
          <w:szCs w:val="20"/>
        </w:rPr>
        <w:t>weil –denn –wie (z. B.) – daher</w:t>
      </w:r>
      <w:r w:rsidRPr="009168F9">
        <w:rPr>
          <w:rFonts w:asciiTheme="majorHAnsi" w:hAnsiTheme="majorHAnsi"/>
          <w:sz w:val="20"/>
          <w:szCs w:val="20"/>
        </w:rPr>
        <w:t xml:space="preserve">) verwenden. Dann behält man den Überblick und weiß beim Formulieren auch, welchen Schritt man im Rahmen einer Argumentation gerade ausführt. </w:t>
      </w:r>
    </w:p>
    <w:p w14:paraId="3C655F6D" w14:textId="77777777" w:rsidR="00DB6A89" w:rsidRPr="00870F73" w:rsidRDefault="00DB6A89" w:rsidP="00DB6A89">
      <w:pPr>
        <w:spacing w:after="0" w:line="240" w:lineRule="auto"/>
        <w:rPr>
          <w:rFonts w:asciiTheme="majorHAnsi" w:hAnsiTheme="majorHAnsi"/>
          <w:sz w:val="20"/>
          <w:szCs w:val="20"/>
        </w:rPr>
      </w:pPr>
    </w:p>
    <w:p w14:paraId="7FA623D2" w14:textId="1C6B0BDE" w:rsidR="00DB6A89" w:rsidRPr="009168F9" w:rsidRDefault="00DB6A89" w:rsidP="00B45BD6">
      <w:pPr>
        <w:spacing w:after="0" w:line="240" w:lineRule="auto"/>
        <w:ind w:left="708"/>
        <w:rPr>
          <w:rFonts w:asciiTheme="majorHAnsi" w:hAnsiTheme="majorHAnsi"/>
          <w:sz w:val="20"/>
          <w:szCs w:val="20"/>
        </w:rPr>
      </w:pPr>
      <w:hyperlink r:id="rId13" w:history="1">
        <w:r w:rsidRPr="00870F73">
          <w:rPr>
            <w:rStyle w:val="Hyperlink"/>
            <w:rFonts w:asciiTheme="majorHAnsi" w:hAnsiTheme="majorHAnsi"/>
            <w:sz w:val="20"/>
            <w:szCs w:val="20"/>
            <w:u w:val="none"/>
          </w:rPr>
          <w:t xml:space="preserve">teachSamOER-Dokument zur Übung von Argumentationen nach dem Schema der </w:t>
        </w:r>
        <w:r w:rsidR="00B45BD6">
          <w:rPr>
            <w:rStyle w:val="Hyperlink"/>
            <w:rFonts w:asciiTheme="majorHAnsi" w:hAnsiTheme="majorHAnsi"/>
            <w:sz w:val="20"/>
            <w:szCs w:val="20"/>
            <w:u w:val="none"/>
          </w:rPr>
          <w:br/>
        </w:r>
        <w:r w:rsidRPr="00870F73">
          <w:rPr>
            <w:rStyle w:val="Hyperlink"/>
            <w:rFonts w:asciiTheme="majorHAnsi" w:hAnsiTheme="majorHAnsi"/>
            <w:sz w:val="20"/>
            <w:szCs w:val="20"/>
            <w:u w:val="none"/>
          </w:rPr>
          <w:t>erweiterten Argumentation</w:t>
        </w:r>
      </w:hyperlink>
    </w:p>
    <w:p w14:paraId="5BCDD422" w14:textId="77777777" w:rsidR="00DB6A89" w:rsidRDefault="00DB6A89" w:rsidP="00DB6A89">
      <w:pPr>
        <w:spacing w:after="0" w:line="240" w:lineRule="auto"/>
      </w:pPr>
    </w:p>
    <w:sectPr w:rsidR="00DB6A89" w:rsidSect="00A758D5">
      <w:headerReference w:type="default" r:id="rId14"/>
      <w:footerReference w:type="default" r:id="rId1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0920D" w14:textId="77777777" w:rsidR="004F7C79" w:rsidRDefault="004F7C79" w:rsidP="006A4AAE">
      <w:pPr>
        <w:spacing w:after="0" w:line="240" w:lineRule="auto"/>
      </w:pPr>
      <w:r>
        <w:separator/>
      </w:r>
    </w:p>
  </w:endnote>
  <w:endnote w:type="continuationSeparator" w:id="0">
    <w:p w14:paraId="64221CAF" w14:textId="77777777" w:rsidR="004F7C79" w:rsidRDefault="004F7C79"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8CD3" w14:textId="3FF1B4B5" w:rsidR="009548D6" w:rsidRPr="009548D6" w:rsidRDefault="009548D6" w:rsidP="009548D6">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75648" behindDoc="0" locked="0" layoutInCell="1" allowOverlap="1" wp14:anchorId="284C6A92" wp14:editId="16A12AC0">
          <wp:simplePos x="0" y="0"/>
          <wp:positionH relativeFrom="column">
            <wp:posOffset>5016500</wp:posOffset>
          </wp:positionH>
          <wp:positionV relativeFrom="paragraph">
            <wp:posOffset>192405</wp:posOffset>
          </wp:positionV>
          <wp:extent cx="571500" cy="215900"/>
          <wp:effectExtent l="0" t="0" r="0" b="0"/>
          <wp:wrapSquare wrapText="bothSides"/>
          <wp:docPr id="76" name="Grafik 7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5446" w14:textId="77777777" w:rsidR="004F7C79" w:rsidRDefault="004F7C79" w:rsidP="006A4AAE">
      <w:pPr>
        <w:spacing w:after="0" w:line="240" w:lineRule="auto"/>
      </w:pPr>
      <w:r>
        <w:separator/>
      </w:r>
    </w:p>
  </w:footnote>
  <w:footnote w:type="continuationSeparator" w:id="0">
    <w:p w14:paraId="2D6609A5" w14:textId="77777777" w:rsidR="004F7C79" w:rsidRDefault="004F7C79"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0EBD" w14:textId="357129E6" w:rsidR="00A02AFB" w:rsidRPr="006D2B03" w:rsidRDefault="00A02AFB" w:rsidP="00A02AFB">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73600" behindDoc="0" locked="0" layoutInCell="1" allowOverlap="1" wp14:anchorId="029C3D94" wp14:editId="3EF308E5">
          <wp:simplePos x="0" y="0"/>
          <wp:positionH relativeFrom="column">
            <wp:posOffset>4797425</wp:posOffset>
          </wp:positionH>
          <wp:positionV relativeFrom="paragraph">
            <wp:posOffset>-169545</wp:posOffset>
          </wp:positionV>
          <wp:extent cx="897890" cy="596265"/>
          <wp:effectExtent l="0" t="0" r="0" b="0"/>
          <wp:wrapSquare wrapText="bothSides"/>
          <wp:docPr id="7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sidR="00546CAE">
      <w:rPr>
        <w:sz w:val="20"/>
        <w:szCs w:val="20"/>
      </w:rPr>
      <w:t>8</w:t>
    </w:r>
  </w:p>
  <w:p w14:paraId="65BC3CE1" w14:textId="77777777" w:rsidR="00A02AFB" w:rsidRPr="006A4AAE" w:rsidRDefault="00A02AFB" w:rsidP="00A02AFB">
    <w:pPr>
      <w:pStyle w:val="Kopfzeile"/>
    </w:pPr>
  </w:p>
  <w:p w14:paraId="017863E0" w14:textId="77777777" w:rsidR="00A02AFB" w:rsidRPr="00A02AFB" w:rsidRDefault="00A02AFB" w:rsidP="00A02A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98667A"/>
    <w:lvl w:ilvl="0">
      <w:numFmt w:val="bullet"/>
      <w:lvlText w:val="*"/>
      <w:lvlJc w:val="left"/>
    </w:lvl>
  </w:abstractNum>
  <w:abstractNum w:abstractNumId="1" w15:restartNumberingAfterBreak="0">
    <w:nsid w:val="01E019B0"/>
    <w:multiLevelType w:val="hybridMultilevel"/>
    <w:tmpl w:val="4284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D0731F"/>
    <w:multiLevelType w:val="hybridMultilevel"/>
    <w:tmpl w:val="65B4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CA6204"/>
    <w:multiLevelType w:val="multilevel"/>
    <w:tmpl w:val="FCB4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45440"/>
    <w:multiLevelType w:val="hybridMultilevel"/>
    <w:tmpl w:val="A96C3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57507B"/>
    <w:multiLevelType w:val="multilevel"/>
    <w:tmpl w:val="A5A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06177"/>
    <w:multiLevelType w:val="singleLevel"/>
    <w:tmpl w:val="5380EF72"/>
    <w:lvl w:ilvl="0">
      <w:start w:val="1"/>
      <w:numFmt w:val="lowerLetter"/>
      <w:lvlText w:val="%1)"/>
      <w:legacy w:legacy="1" w:legacySpace="0" w:legacyIndent="283"/>
      <w:lvlJc w:val="left"/>
      <w:pPr>
        <w:ind w:left="283" w:hanging="283"/>
      </w:pPr>
    </w:lvl>
  </w:abstractNum>
  <w:abstractNum w:abstractNumId="7" w15:restartNumberingAfterBreak="0">
    <w:nsid w:val="2FA57AF0"/>
    <w:multiLevelType w:val="singleLevel"/>
    <w:tmpl w:val="5380EF72"/>
    <w:lvl w:ilvl="0">
      <w:start w:val="1"/>
      <w:numFmt w:val="lowerLetter"/>
      <w:lvlText w:val="%1)"/>
      <w:legacy w:legacy="1" w:legacySpace="0" w:legacyIndent="283"/>
      <w:lvlJc w:val="left"/>
      <w:pPr>
        <w:ind w:left="283" w:hanging="283"/>
      </w:pPr>
    </w:lvl>
  </w:abstractNum>
  <w:abstractNum w:abstractNumId="8" w15:restartNumberingAfterBreak="0">
    <w:nsid w:val="378931E2"/>
    <w:multiLevelType w:val="multilevel"/>
    <w:tmpl w:val="CA4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B740C"/>
    <w:multiLevelType w:val="singleLevel"/>
    <w:tmpl w:val="5380EF72"/>
    <w:lvl w:ilvl="0">
      <w:start w:val="1"/>
      <w:numFmt w:val="lowerLetter"/>
      <w:lvlText w:val="%1)"/>
      <w:legacy w:legacy="1" w:legacySpace="0" w:legacyIndent="283"/>
      <w:lvlJc w:val="left"/>
      <w:pPr>
        <w:ind w:left="283" w:hanging="283"/>
      </w:pPr>
    </w:lvl>
  </w:abstractNum>
  <w:abstractNum w:abstractNumId="10" w15:restartNumberingAfterBreak="0">
    <w:nsid w:val="432D5543"/>
    <w:multiLevelType w:val="hybridMultilevel"/>
    <w:tmpl w:val="46FCC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497A7D"/>
    <w:multiLevelType w:val="multilevel"/>
    <w:tmpl w:val="A7F6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BA60A3"/>
    <w:multiLevelType w:val="singleLevel"/>
    <w:tmpl w:val="5380EF72"/>
    <w:lvl w:ilvl="0">
      <w:start w:val="1"/>
      <w:numFmt w:val="lowerLetter"/>
      <w:lvlText w:val="%1)"/>
      <w:legacy w:legacy="1" w:legacySpace="0" w:legacyIndent="283"/>
      <w:lvlJc w:val="left"/>
      <w:pPr>
        <w:ind w:left="283" w:hanging="283"/>
      </w:pPr>
    </w:lvl>
  </w:abstractNum>
  <w:abstractNum w:abstractNumId="13" w15:restartNumberingAfterBreak="0">
    <w:nsid w:val="5E8440C6"/>
    <w:multiLevelType w:val="multilevel"/>
    <w:tmpl w:val="3BB6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9E3B3F"/>
    <w:multiLevelType w:val="multilevel"/>
    <w:tmpl w:val="4B38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A1F4C"/>
    <w:multiLevelType w:val="singleLevel"/>
    <w:tmpl w:val="5380EF72"/>
    <w:lvl w:ilvl="0">
      <w:start w:val="1"/>
      <w:numFmt w:val="lowerLetter"/>
      <w:lvlText w:val="%1)"/>
      <w:legacy w:legacy="1" w:legacySpace="0" w:legacyIndent="283"/>
      <w:lvlJc w:val="left"/>
      <w:pPr>
        <w:ind w:left="283" w:hanging="283"/>
      </w:pPr>
    </w:lvl>
  </w:abstractNum>
  <w:abstractNum w:abstractNumId="16" w15:restartNumberingAfterBreak="0">
    <w:nsid w:val="6B833E44"/>
    <w:multiLevelType w:val="multilevel"/>
    <w:tmpl w:val="FF20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E5594C"/>
    <w:multiLevelType w:val="hybridMultilevel"/>
    <w:tmpl w:val="E4229A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5"/>
  </w:num>
  <w:num w:numId="5">
    <w:abstractNumId w:val="11"/>
  </w:num>
  <w:num w:numId="6">
    <w:abstractNumId w:val="8"/>
  </w:num>
  <w:num w:numId="7">
    <w:abstractNumId w:val="3"/>
  </w:num>
  <w:num w:numId="8">
    <w:abstractNumId w:val="16"/>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5"/>
  </w:num>
  <w:num w:numId="11">
    <w:abstractNumId w:val="9"/>
  </w:num>
  <w:num w:numId="12">
    <w:abstractNumId w:val="12"/>
  </w:num>
  <w:num w:numId="13">
    <w:abstractNumId w:val="6"/>
  </w:num>
  <w:num w:numId="14">
    <w:abstractNumId w:val="7"/>
  </w:num>
  <w:num w:numId="15">
    <w:abstractNumId w:val="17"/>
  </w:num>
  <w:num w:numId="16">
    <w:abstractNumId w:val="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characterSpacingControl w:val="doNotCompress"/>
  <w:savePreviewPicture/>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01D9E"/>
    <w:rsid w:val="000146CF"/>
    <w:rsid w:val="00024918"/>
    <w:rsid w:val="00024EDE"/>
    <w:rsid w:val="00036FBA"/>
    <w:rsid w:val="000510D6"/>
    <w:rsid w:val="0009328E"/>
    <w:rsid w:val="000A1B55"/>
    <w:rsid w:val="000B4777"/>
    <w:rsid w:val="001557DE"/>
    <w:rsid w:val="001603D7"/>
    <w:rsid w:val="00161D61"/>
    <w:rsid w:val="00172FCC"/>
    <w:rsid w:val="00173614"/>
    <w:rsid w:val="001927A3"/>
    <w:rsid w:val="001D5EC1"/>
    <w:rsid w:val="00204CBF"/>
    <w:rsid w:val="00261C30"/>
    <w:rsid w:val="00261C93"/>
    <w:rsid w:val="002923A0"/>
    <w:rsid w:val="002A556A"/>
    <w:rsid w:val="002E566B"/>
    <w:rsid w:val="00372287"/>
    <w:rsid w:val="00383142"/>
    <w:rsid w:val="0038642A"/>
    <w:rsid w:val="00387D55"/>
    <w:rsid w:val="00393D08"/>
    <w:rsid w:val="003F4DF2"/>
    <w:rsid w:val="004374D0"/>
    <w:rsid w:val="00437DF7"/>
    <w:rsid w:val="00440441"/>
    <w:rsid w:val="004B67FE"/>
    <w:rsid w:val="004F7C79"/>
    <w:rsid w:val="00503D71"/>
    <w:rsid w:val="0052486A"/>
    <w:rsid w:val="00546CAE"/>
    <w:rsid w:val="00551D62"/>
    <w:rsid w:val="005544FC"/>
    <w:rsid w:val="00562AE0"/>
    <w:rsid w:val="00562F93"/>
    <w:rsid w:val="0057106D"/>
    <w:rsid w:val="00577E53"/>
    <w:rsid w:val="005D1964"/>
    <w:rsid w:val="005D2252"/>
    <w:rsid w:val="005D288E"/>
    <w:rsid w:val="005E22D3"/>
    <w:rsid w:val="005E4330"/>
    <w:rsid w:val="00604778"/>
    <w:rsid w:val="006124CC"/>
    <w:rsid w:val="0064419B"/>
    <w:rsid w:val="006A4AAE"/>
    <w:rsid w:val="006B5740"/>
    <w:rsid w:val="006D2B03"/>
    <w:rsid w:val="00701B83"/>
    <w:rsid w:val="00710A91"/>
    <w:rsid w:val="00790D9A"/>
    <w:rsid w:val="007C1C9A"/>
    <w:rsid w:val="008002F6"/>
    <w:rsid w:val="00832A54"/>
    <w:rsid w:val="00835598"/>
    <w:rsid w:val="00837F98"/>
    <w:rsid w:val="0084408B"/>
    <w:rsid w:val="0088523A"/>
    <w:rsid w:val="008D5555"/>
    <w:rsid w:val="008F2EDF"/>
    <w:rsid w:val="008F76A5"/>
    <w:rsid w:val="009005EE"/>
    <w:rsid w:val="009076DC"/>
    <w:rsid w:val="009543D1"/>
    <w:rsid w:val="009548D6"/>
    <w:rsid w:val="0095691D"/>
    <w:rsid w:val="0096799D"/>
    <w:rsid w:val="00991EEE"/>
    <w:rsid w:val="009F3F93"/>
    <w:rsid w:val="00A02031"/>
    <w:rsid w:val="00A02AFB"/>
    <w:rsid w:val="00A612CF"/>
    <w:rsid w:val="00A632A4"/>
    <w:rsid w:val="00A758D5"/>
    <w:rsid w:val="00AB5C58"/>
    <w:rsid w:val="00AB5D13"/>
    <w:rsid w:val="00AE0BDF"/>
    <w:rsid w:val="00AF2B8D"/>
    <w:rsid w:val="00B31739"/>
    <w:rsid w:val="00B3178D"/>
    <w:rsid w:val="00B34655"/>
    <w:rsid w:val="00B40537"/>
    <w:rsid w:val="00B45BD6"/>
    <w:rsid w:val="00B47D71"/>
    <w:rsid w:val="00B605B7"/>
    <w:rsid w:val="00B65684"/>
    <w:rsid w:val="00BA16AC"/>
    <w:rsid w:val="00BB04D9"/>
    <w:rsid w:val="00BB6995"/>
    <w:rsid w:val="00BC10B8"/>
    <w:rsid w:val="00BC535B"/>
    <w:rsid w:val="00C10103"/>
    <w:rsid w:val="00C33B59"/>
    <w:rsid w:val="00C53314"/>
    <w:rsid w:val="00C71F66"/>
    <w:rsid w:val="00C90D61"/>
    <w:rsid w:val="00D46113"/>
    <w:rsid w:val="00D8314E"/>
    <w:rsid w:val="00D90CF5"/>
    <w:rsid w:val="00DB6A89"/>
    <w:rsid w:val="00E41F11"/>
    <w:rsid w:val="00E64264"/>
    <w:rsid w:val="00E7757B"/>
    <w:rsid w:val="00E822AF"/>
    <w:rsid w:val="00EB4BE5"/>
    <w:rsid w:val="00EC2363"/>
    <w:rsid w:val="00EF1EBD"/>
    <w:rsid w:val="00F315DD"/>
    <w:rsid w:val="00F55CDF"/>
    <w:rsid w:val="00F802C6"/>
    <w:rsid w:val="00FD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09F2DDB"/>
  <w15:docId w15:val="{370E1EB1-55F8-44FC-91BB-BDFAA347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45B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 w:type="character" w:styleId="NichtaufgelsteErwhnung">
    <w:name w:val="Unresolved Mention"/>
    <w:basedOn w:val="Absatz-Standardschriftart"/>
    <w:uiPriority w:val="99"/>
    <w:semiHidden/>
    <w:unhideWhenUsed/>
    <w:rsid w:val="00546CAE"/>
    <w:rPr>
      <w:color w:val="605E5C"/>
      <w:shd w:val="clear" w:color="auto" w:fill="E1DFDD"/>
    </w:rPr>
  </w:style>
  <w:style w:type="paragraph" w:styleId="Listenabsatz">
    <w:name w:val="List Paragraph"/>
    <w:basedOn w:val="Standard"/>
    <w:uiPriority w:val="34"/>
    <w:qFormat/>
    <w:rsid w:val="00437DF7"/>
    <w:pPr>
      <w:ind w:left="720"/>
      <w:contextualSpacing/>
    </w:pPr>
  </w:style>
  <w:style w:type="paragraph" w:styleId="StandardWeb">
    <w:name w:val="Normal (Web)"/>
    <w:basedOn w:val="Standard"/>
    <w:uiPriority w:val="99"/>
    <w:unhideWhenUsed/>
    <w:rsid w:val="00C90D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A758D5"/>
  </w:style>
  <w:style w:type="character" w:customStyle="1" w:styleId="berschrift2Zchn">
    <w:name w:val="Überschrift 2 Zchn"/>
    <w:basedOn w:val="Absatz-Standardschriftart"/>
    <w:link w:val="berschrift2"/>
    <w:uiPriority w:val="9"/>
    <w:rsid w:val="00B45B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7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sam.de/deutsch/d_rhetorik/argu/erweiter.htm" TargetMode="External"/><Relationship Id="rId13" Type="http://schemas.openxmlformats.org/officeDocument/2006/relationships/hyperlink" Target="http://www.teachsam.de/oer-pdf/rhet-oer/erweiterte_argumentation_tabelle_1%20eg%20O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sam.de/deutsch/d_lingu/synt/wort/konj_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sam.de/deutsch/d_lingu/synt/wort/verknuepf.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140C-2D98-4C6D-8A6B-470B2820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3892</Characters>
  <Application>Microsoft Office Word</Application>
  <DocSecurity>0</DocSecurity>
  <Lines>32</Lines>
  <Paragraphs>8</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Konjunktionen verdeutlichen argumentative Strukturen</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KMZKN</dc:creator>
  <cp:keywords/>
  <dc:description/>
  <cp:lastModifiedBy>Gert Egle</cp:lastModifiedBy>
  <cp:revision>3</cp:revision>
  <cp:lastPrinted>2018-12-14T19:09:00Z</cp:lastPrinted>
  <dcterms:created xsi:type="dcterms:W3CDTF">2018-12-15T09:38:00Z</dcterms:created>
  <dcterms:modified xsi:type="dcterms:W3CDTF">2018-12-15T09:45:00Z</dcterms:modified>
</cp:coreProperties>
</file>