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C9151" w14:textId="77777777" w:rsidR="0026778B" w:rsidRPr="002012E8" w:rsidRDefault="0026778B" w:rsidP="0026778B">
      <w:pPr>
        <w:pStyle w:val="berschrift2"/>
        <w:rPr>
          <w:rFonts w:ascii="Cambria" w:hAnsi="Cambria"/>
          <w:sz w:val="24"/>
        </w:rPr>
      </w:pPr>
      <w:r>
        <w:rPr>
          <w:rFonts w:ascii="Cambria" w:hAnsi="Cambria"/>
          <w:sz w:val="24"/>
        </w:rPr>
        <w:t>Formen der indirekten Rede- und Textwiedergabe</w:t>
      </w:r>
    </w:p>
    <w:p w14:paraId="7E470B24" w14:textId="3A88C766" w:rsidR="00017E5B" w:rsidRPr="003C698F" w:rsidRDefault="001A2B34" w:rsidP="0026778B">
      <w:pPr>
        <w:pStyle w:val="berschrift2"/>
        <w:rPr>
          <w:sz w:val="12"/>
        </w:rPr>
      </w:pPr>
      <w:r>
        <w:rPr>
          <w:rFonts w:asciiTheme="minorHAnsi" w:hAnsiTheme="minorHAnsi"/>
          <w:sz w:val="32"/>
        </w:rPr>
        <w:t>Modalverb</w:t>
      </w:r>
    </w:p>
    <w:p w14:paraId="06836509" w14:textId="77777777" w:rsidR="00017E5B" w:rsidRPr="003C698F" w:rsidRDefault="00017E5B" w:rsidP="00017E5B">
      <w:pPr>
        <w:ind w:firstLine="709"/>
        <w:rPr>
          <w:sz w:val="18"/>
          <w:szCs w:val="22"/>
        </w:rPr>
        <w:sectPr w:rsidR="00017E5B" w:rsidRPr="003C698F" w:rsidSect="00017E5B">
          <w:headerReference w:type="even" r:id="rId8"/>
          <w:headerReference w:type="default" r:id="rId9"/>
          <w:footerReference w:type="even" r:id="rId10"/>
          <w:footerReference w:type="default" r:id="rId11"/>
          <w:type w:val="continuous"/>
          <w:pgSz w:w="11900" w:h="16840"/>
          <w:pgMar w:top="1417" w:right="1417" w:bottom="1134" w:left="1417" w:header="708" w:footer="708" w:gutter="0"/>
          <w:cols w:space="708"/>
          <w:docGrid w:linePitch="360"/>
        </w:sectPr>
      </w:pPr>
    </w:p>
    <w:p w14:paraId="03FD48B8" w14:textId="77777777" w:rsidR="001A2B34" w:rsidRPr="001A2B34" w:rsidRDefault="001A2B34" w:rsidP="001A2B34">
      <w:pPr>
        <w:spacing w:before="240" w:after="240"/>
      </w:pPr>
      <w:r w:rsidRPr="001A2B34">
        <w:lastRenderedPageBreak/>
        <w:t xml:space="preserve">Um die indirekte Wiedergabe zu signalisieren, kann man sich auch der </w:t>
      </w:r>
      <w:r w:rsidRPr="001A2B34">
        <w:rPr>
          <w:b/>
          <w:bCs/>
        </w:rPr>
        <w:t>Modalverben sollen</w:t>
      </w:r>
      <w:r w:rsidRPr="001A2B34">
        <w:t xml:space="preserve"> und </w:t>
      </w:r>
      <w:r w:rsidRPr="001A2B34">
        <w:rPr>
          <w:b/>
          <w:bCs/>
        </w:rPr>
        <w:t>wollen</w:t>
      </w:r>
      <w:r w:rsidRPr="001A2B34">
        <w:t xml:space="preserve"> bedienen. Man findet diese Form der indirekten Wiedergabe sowohl bei schriftlichen als auch mündlichen Äußerungen. In der Schule wird sie z. B. bei der strukturierten Textwiedergabe verwendet, aber auch bei den journalistischen Darstellungsformen ist sie weit verbreitet.</w:t>
      </w:r>
    </w:p>
    <w:tbl>
      <w:tblPr>
        <w:tblW w:w="5000" w:type="pct"/>
        <w:tblBorders>
          <w:top w:val="outset" w:sz="6" w:space="0" w:color="808080"/>
          <w:left w:val="outset" w:sz="6" w:space="0" w:color="808080"/>
          <w:bottom w:val="outset" w:sz="6" w:space="0" w:color="808080"/>
          <w:right w:val="outset" w:sz="6" w:space="0" w:color="808080"/>
        </w:tblBorders>
        <w:tblCellMar>
          <w:left w:w="0" w:type="dxa"/>
          <w:right w:w="0" w:type="dxa"/>
        </w:tblCellMar>
        <w:tblLook w:val="0000" w:firstRow="0" w:lastRow="0" w:firstColumn="0" w:lastColumn="0" w:noHBand="0" w:noVBand="0"/>
      </w:tblPr>
      <w:tblGrid>
        <w:gridCol w:w="4524"/>
        <w:gridCol w:w="4524"/>
      </w:tblGrid>
      <w:tr w:rsidR="001A2B34" w:rsidRPr="001A2B34" w14:paraId="491BC8DE" w14:textId="77777777" w:rsidTr="00D00705">
        <w:trPr>
          <w:trHeight w:val="675"/>
        </w:trPr>
        <w:tc>
          <w:tcPr>
            <w:tcW w:w="5000" w:type="pct"/>
            <w:gridSpan w:val="2"/>
            <w:tcBorders>
              <w:top w:val="outset" w:sz="6" w:space="0" w:color="808080"/>
              <w:left w:val="outset" w:sz="6" w:space="0" w:color="808080"/>
              <w:bottom w:val="outset" w:sz="6" w:space="0" w:color="808080"/>
              <w:right w:val="outset" w:sz="6" w:space="0" w:color="808080"/>
            </w:tcBorders>
            <w:shd w:val="clear" w:color="auto" w:fill="ECE9D8"/>
            <w:vAlign w:val="center"/>
          </w:tcPr>
          <w:p w14:paraId="26DB60C2" w14:textId="77777777" w:rsidR="001A2B34" w:rsidRPr="001A2B34" w:rsidRDefault="001A2B34" w:rsidP="001A2B34">
            <w:pPr>
              <w:spacing w:before="60" w:after="60"/>
              <w:ind w:left="170"/>
              <w:rPr>
                <w:rFonts w:asciiTheme="majorHAnsi" w:hAnsiTheme="majorHAnsi"/>
              </w:rPr>
            </w:pPr>
            <w:r w:rsidRPr="001A2B34">
              <w:rPr>
                <w:rFonts w:asciiTheme="majorHAnsi" w:hAnsiTheme="majorHAnsi"/>
                <w:sz w:val="22"/>
              </w:rPr>
              <w:t>Frau Kern hat sich im Gespräch mit der Klassenlehrerin ihres Sohnes Kai Rat geholt (Bild links). Am nächsten Tag äußert sie sich gegenüber Kai. (Bild rechts)</w:t>
            </w:r>
          </w:p>
        </w:tc>
      </w:tr>
      <w:tr w:rsidR="001A2B34" w:rsidRPr="001A2B34" w14:paraId="166417DC" w14:textId="77777777" w:rsidTr="00D00705">
        <w:tc>
          <w:tcPr>
            <w:tcW w:w="2500" w:type="pct"/>
            <w:tcBorders>
              <w:top w:val="outset" w:sz="6" w:space="0" w:color="808080"/>
              <w:left w:val="outset" w:sz="6" w:space="0" w:color="808080"/>
              <w:bottom w:val="outset" w:sz="6" w:space="0" w:color="808080"/>
              <w:right w:val="outset" w:sz="6" w:space="0" w:color="808080"/>
            </w:tcBorders>
            <w:vAlign w:val="center"/>
          </w:tcPr>
          <w:p w14:paraId="49F5D70C" w14:textId="7A0CD093" w:rsidR="001A2B34" w:rsidRPr="001A2B34" w:rsidRDefault="001A2B34" w:rsidP="001A2B34">
            <w:pPr>
              <w:spacing w:before="60"/>
            </w:pPr>
            <w:r w:rsidRPr="001A2B34">
              <w:drawing>
                <wp:inline distT="0" distB="0" distL="0" distR="0" wp14:anchorId="75FAADAD" wp14:editId="2671E28C">
                  <wp:extent cx="2413635" cy="2084070"/>
                  <wp:effectExtent l="0" t="0" r="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t="-5797"/>
                          <a:stretch>
                            <a:fillRect/>
                          </a:stretch>
                        </pic:blipFill>
                        <pic:spPr bwMode="auto">
                          <a:xfrm>
                            <a:off x="0" y="0"/>
                            <a:ext cx="2413635" cy="2084070"/>
                          </a:xfrm>
                          <a:prstGeom prst="rect">
                            <a:avLst/>
                          </a:prstGeom>
                          <a:noFill/>
                          <a:ln>
                            <a:noFill/>
                          </a:ln>
                        </pic:spPr>
                      </pic:pic>
                    </a:graphicData>
                  </a:graphic>
                </wp:inline>
              </w:drawing>
            </w:r>
          </w:p>
        </w:tc>
        <w:tc>
          <w:tcPr>
            <w:tcW w:w="2500" w:type="pct"/>
            <w:tcBorders>
              <w:top w:val="outset" w:sz="6" w:space="0" w:color="808080"/>
              <w:left w:val="outset" w:sz="6" w:space="0" w:color="808080"/>
              <w:bottom w:val="outset" w:sz="6" w:space="0" w:color="808080"/>
              <w:right w:val="outset" w:sz="6" w:space="0" w:color="808080"/>
            </w:tcBorders>
            <w:vAlign w:val="center"/>
          </w:tcPr>
          <w:p w14:paraId="7747BE7F" w14:textId="230E0DA0" w:rsidR="001A2B34" w:rsidRPr="001A2B34" w:rsidRDefault="001A2B34" w:rsidP="001A2B34">
            <w:pPr>
              <w:spacing w:before="60"/>
            </w:pPr>
            <w:r w:rsidRPr="001A2B34">
              <w:drawing>
                <wp:inline distT="0" distB="0" distL="0" distR="0" wp14:anchorId="2CE5B92A" wp14:editId="6CE83389">
                  <wp:extent cx="2413635" cy="2105025"/>
                  <wp:effectExtent l="0" t="0" r="0" b="317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t="-9950"/>
                          <a:stretch>
                            <a:fillRect/>
                          </a:stretch>
                        </pic:blipFill>
                        <pic:spPr bwMode="auto">
                          <a:xfrm>
                            <a:off x="0" y="0"/>
                            <a:ext cx="2413635" cy="2105025"/>
                          </a:xfrm>
                          <a:prstGeom prst="rect">
                            <a:avLst/>
                          </a:prstGeom>
                          <a:noFill/>
                          <a:ln>
                            <a:noFill/>
                          </a:ln>
                        </pic:spPr>
                      </pic:pic>
                    </a:graphicData>
                  </a:graphic>
                </wp:inline>
              </w:drawing>
            </w:r>
          </w:p>
        </w:tc>
      </w:tr>
    </w:tbl>
    <w:p w14:paraId="18F40101" w14:textId="77777777" w:rsidR="001A2B34" w:rsidRDefault="001A2B34" w:rsidP="001A2B34">
      <w:pPr>
        <w:spacing w:before="240"/>
      </w:pPr>
      <w:r w:rsidRPr="001A2B34">
        <w:t xml:space="preserve">Mit ihrer Äußerung gibt die Mutter zu verstehen, dass nicht sie selbst auf die Idee gekommen ist, Maßnahmen gegen </w:t>
      </w:r>
      <w:proofErr w:type="gramStart"/>
      <w:r w:rsidRPr="001A2B34">
        <w:t>das übermäßige Computerspielen</w:t>
      </w:r>
      <w:proofErr w:type="gramEnd"/>
      <w:r w:rsidRPr="001A2B34">
        <w:t xml:space="preserve"> ihres Sohnes zu ergreifen.</w:t>
      </w:r>
    </w:p>
    <w:p w14:paraId="5ECB32DA" w14:textId="346AC00B" w:rsidR="001A2B34" w:rsidRPr="001A2B34" w:rsidRDefault="001A2B34" w:rsidP="001A2B34">
      <w:pPr>
        <w:spacing w:before="240" w:after="240"/>
        <w:rPr>
          <w:rFonts w:ascii="Cambria" w:eastAsiaTheme="majorEastAsia" w:hAnsi="Cambria" w:cstheme="majorBidi"/>
          <w:b/>
          <w:color w:val="365F91" w:themeColor="accent1" w:themeShade="BF"/>
          <w:szCs w:val="26"/>
        </w:rPr>
      </w:pPr>
      <w:r w:rsidRPr="001A2B34">
        <w:rPr>
          <w:rFonts w:ascii="Cambria" w:eastAsiaTheme="majorEastAsia" w:hAnsi="Cambria" w:cstheme="majorBidi"/>
          <w:b/>
          <w:color w:val="365F91" w:themeColor="accent1" w:themeShade="BF"/>
          <w:szCs w:val="26"/>
        </w:rPr>
        <w:t>Eine Nebenform der Textwiedergabe</w:t>
      </w:r>
    </w:p>
    <w:p w14:paraId="63D75209" w14:textId="095B6C08" w:rsidR="001A2B34" w:rsidRPr="001A2B34" w:rsidRDefault="001A2B34" w:rsidP="001A2B34">
      <w:pPr>
        <w:spacing w:before="60"/>
      </w:pPr>
      <w:r w:rsidRPr="001A2B34">
        <w:t xml:space="preserve">Die indirekte Wiedergabe mit Hilfe der Modalverben </w:t>
      </w:r>
      <w:r w:rsidRPr="001A2B34">
        <w:rPr>
          <w:b/>
          <w:bCs/>
        </w:rPr>
        <w:t>sollen</w:t>
      </w:r>
      <w:r w:rsidRPr="001A2B34">
        <w:t xml:space="preserve"> und </w:t>
      </w:r>
      <w:r w:rsidRPr="001A2B34">
        <w:rPr>
          <w:b/>
          <w:bCs/>
        </w:rPr>
        <w:t>wollen</w:t>
      </w:r>
      <w:r>
        <w:t xml:space="preserve"> </w:t>
      </w:r>
      <w:r w:rsidRPr="001A2B34">
        <w:t xml:space="preserve">stellen eine </w:t>
      </w:r>
      <w:r w:rsidRPr="001A2B34">
        <w:rPr>
          <w:b/>
          <w:bCs/>
        </w:rPr>
        <w:t>Nebenform der Textwiedergabe</w:t>
      </w:r>
      <w:r w:rsidRPr="001A2B34">
        <w:t xml:space="preserve"> dar. (vgl. Engel 1996, S.116)</w:t>
      </w:r>
    </w:p>
    <w:p w14:paraId="5217CCCE" w14:textId="77777777" w:rsidR="001A2B34" w:rsidRDefault="001A2B34" w:rsidP="001A2B34">
      <w:pPr>
        <w:pStyle w:val="Listenabsatz"/>
        <w:numPr>
          <w:ilvl w:val="0"/>
          <w:numId w:val="39"/>
        </w:numPr>
        <w:spacing w:before="120" w:after="120"/>
      </w:pPr>
      <w:r w:rsidRPr="001A2B34">
        <w:t xml:space="preserve">Der indirekten Wiedergabe </w:t>
      </w:r>
      <w:proofErr w:type="gramStart"/>
      <w:r w:rsidRPr="001A2B34">
        <w:t xml:space="preserve">mit </w:t>
      </w:r>
      <w:r w:rsidRPr="001A2B34">
        <w:rPr>
          <w:i/>
        </w:rPr>
        <w:t>sollen</w:t>
      </w:r>
      <w:proofErr w:type="gramEnd"/>
      <w:r w:rsidRPr="001A2B34">
        <w:t xml:space="preserve"> und </w:t>
      </w:r>
      <w:r w:rsidRPr="001A2B34">
        <w:rPr>
          <w:i/>
        </w:rPr>
        <w:t>wollen</w:t>
      </w:r>
      <w:r w:rsidRPr="001A2B34">
        <w:t xml:space="preserve"> liegt</w:t>
      </w:r>
      <w:r w:rsidRPr="001A2B34">
        <w:rPr>
          <w:b/>
          <w:bCs/>
        </w:rPr>
        <w:t xml:space="preserve"> in jedem Fall eine Primäräußerung zu Grunde</w:t>
      </w:r>
      <w:r w:rsidRPr="001A2B34">
        <w:t xml:space="preserve"> und auch der Sprecher weist mit dieser Formulierung darauf hin, dass </w:t>
      </w:r>
      <w:r w:rsidRPr="001A2B34">
        <w:rPr>
          <w:b/>
          <w:bCs/>
        </w:rPr>
        <w:t>ein anderer der eigentliche Urheber der Äußerung</w:t>
      </w:r>
      <w:r w:rsidRPr="001A2B34">
        <w:t xml:space="preserve"> ist. </w:t>
      </w:r>
    </w:p>
    <w:p w14:paraId="567318D5" w14:textId="7618CCCE" w:rsidR="001A2B34" w:rsidRPr="001A2B34" w:rsidRDefault="001A2B34" w:rsidP="001A2B34">
      <w:pPr>
        <w:pStyle w:val="Listenabsatz"/>
        <w:numPr>
          <w:ilvl w:val="0"/>
          <w:numId w:val="39"/>
        </w:numPr>
        <w:spacing w:before="120" w:after="120"/>
      </w:pPr>
      <w:r w:rsidRPr="001A2B34">
        <w:t>Und damit überträgt er diesem auch die Verantwortung für den Inhalt der Äußerung.</w:t>
      </w:r>
    </w:p>
    <w:p w14:paraId="6D341FB9" w14:textId="77777777" w:rsidR="001A2B34" w:rsidRDefault="001A2B34" w:rsidP="001A2B34">
      <w:pPr>
        <w:spacing w:before="60"/>
      </w:pPr>
      <w:r w:rsidRPr="001A2B34">
        <w:t xml:space="preserve">Wenn er dabei das Modalverb </w:t>
      </w:r>
      <w:r w:rsidRPr="001A2B34">
        <w:rPr>
          <w:b/>
          <w:bCs/>
          <w:i/>
        </w:rPr>
        <w:t>sollen</w:t>
      </w:r>
      <w:r w:rsidRPr="001A2B34">
        <w:t xml:space="preserve"> verwendet, signalisiert er, dass irgendjemand anderer (jedenfalls der Sprecher nicht selbst) die (Primär-)Äußerung gemacht hat. Die sprachliche Realisierung dieser Form ist allerdings nicht ohne eine etwas veränderte Wiedergabe der Primäräußerung möglich. </w:t>
      </w:r>
    </w:p>
    <w:p w14:paraId="2C0BA23C" w14:textId="48617DFF" w:rsidR="001A2B34" w:rsidRPr="001A2B34" w:rsidRDefault="00F07CD0" w:rsidP="001A2B34">
      <w:pPr>
        <w:spacing w:before="240" w:after="240"/>
        <w:rPr>
          <w:rFonts w:ascii="Cambria" w:eastAsiaTheme="majorEastAsia" w:hAnsi="Cambria" w:cstheme="majorBidi"/>
          <w:b/>
          <w:color w:val="365F91" w:themeColor="accent1" w:themeShade="BF"/>
          <w:szCs w:val="26"/>
        </w:rPr>
      </w:pPr>
      <w:r>
        <w:rPr>
          <w:rFonts w:ascii="Cambria" w:eastAsiaTheme="majorEastAsia" w:hAnsi="Cambria" w:cstheme="majorBidi"/>
          <w:b/>
          <w:color w:val="365F91" w:themeColor="accent1" w:themeShade="BF"/>
          <w:szCs w:val="26"/>
        </w:rPr>
        <w:t>Sollen - Wenn der Urheber der Primäräußerung nicht bekannt ist ...</w:t>
      </w:r>
    </w:p>
    <w:p w14:paraId="188C7CFF" w14:textId="03B20089" w:rsidR="001A2B34" w:rsidRPr="001A2B34" w:rsidRDefault="001A2B34" w:rsidP="001A2B34">
      <w:pPr>
        <w:spacing w:before="60"/>
      </w:pPr>
      <w:r w:rsidRPr="001A2B34">
        <w:t xml:space="preserve">Die </w:t>
      </w:r>
      <w:r w:rsidRPr="001A2B34">
        <w:rPr>
          <w:b/>
          <w:i/>
        </w:rPr>
        <w:t>sollen</w:t>
      </w:r>
      <w:r w:rsidRPr="001A2B34">
        <w:t xml:space="preserve">-Form wird im Allgemeinen </w:t>
      </w:r>
      <w:r w:rsidRPr="001A2B34">
        <w:rPr>
          <w:b/>
          <w:bCs/>
        </w:rPr>
        <w:t>verwendet, wenn der Urheber der Primäräußerung nicht bekannt ist oder nicht genannt werden soll</w:t>
      </w:r>
      <w:r w:rsidRPr="001A2B34">
        <w:t>.</w:t>
      </w:r>
    </w:p>
    <w:p w14:paraId="60A3FF67" w14:textId="77777777" w:rsidR="001A2B34" w:rsidRPr="001A2B34" w:rsidRDefault="001A2B34" w:rsidP="001A2B34">
      <w:pPr>
        <w:spacing w:before="60"/>
        <w:rPr>
          <w:b/>
          <w:bCs/>
        </w:rPr>
      </w:pPr>
      <w:r w:rsidRPr="001A2B34">
        <w:rPr>
          <w:b/>
          <w:bCs/>
        </w:rPr>
        <w:t xml:space="preserve">Beispiel: </w:t>
      </w:r>
    </w:p>
    <w:p w14:paraId="18E3A36E" w14:textId="4FB972F2" w:rsidR="00F07CD0" w:rsidRPr="00F07CD0" w:rsidRDefault="00F07CD0" w:rsidP="00F07CD0">
      <w:pPr>
        <w:spacing w:before="240" w:after="240"/>
        <w:ind w:left="708"/>
        <w:rPr>
          <w:rFonts w:asciiTheme="majorHAnsi" w:eastAsiaTheme="majorEastAsia" w:hAnsiTheme="majorHAnsi" w:cstheme="majorBidi"/>
          <w:b/>
          <w:color w:val="365F91" w:themeColor="accent1" w:themeShade="BF"/>
          <w:szCs w:val="26"/>
        </w:rPr>
      </w:pPr>
      <w:r w:rsidRPr="00F07CD0">
        <w:rPr>
          <w:rFonts w:asciiTheme="majorHAnsi" w:eastAsiaTheme="majorEastAsia" w:hAnsiTheme="majorHAnsi" w:cstheme="majorBidi"/>
          <w:b/>
          <w:color w:val="365F91" w:themeColor="accent1" w:themeShade="BF"/>
          <w:szCs w:val="26"/>
        </w:rPr>
        <w:lastRenderedPageBreak/>
        <w:t>Beispiel</w:t>
      </w:r>
    </w:p>
    <w:p w14:paraId="1C5886D0" w14:textId="77777777" w:rsidR="00F07CD0" w:rsidRDefault="001A2B34" w:rsidP="00F07CD0">
      <w:pPr>
        <w:spacing w:before="60"/>
        <w:ind w:left="708"/>
      </w:pPr>
      <w:r w:rsidRPr="001A2B34">
        <w:t xml:space="preserve">Im vorliegenden Fall wird aus der Äußerung der Klassenlehrerin: </w:t>
      </w:r>
    </w:p>
    <w:p w14:paraId="13E6718B" w14:textId="77777777" w:rsidR="00F07CD0" w:rsidRDefault="001A2B34" w:rsidP="00F07CD0">
      <w:pPr>
        <w:spacing w:before="60"/>
        <w:ind w:left="1416"/>
      </w:pPr>
      <w:r w:rsidRPr="001A2B34">
        <w:t xml:space="preserve">"Sie müssen zu Hause etwas gegen Kais übermäßiges Computerspielen unternehmen."  </w:t>
      </w:r>
    </w:p>
    <w:p w14:paraId="7FC4A1B3" w14:textId="77777777" w:rsidR="00F07CD0" w:rsidRDefault="001A2B34" w:rsidP="00F07CD0">
      <w:pPr>
        <w:spacing w:before="120"/>
        <w:ind w:left="708"/>
      </w:pPr>
      <w:r w:rsidRPr="001A2B34">
        <w:t xml:space="preserve">in einer Zwischenstufe die indirekte Wiedergabe: </w:t>
      </w:r>
    </w:p>
    <w:p w14:paraId="0BC0B3E7" w14:textId="593459AF" w:rsidR="00F07CD0" w:rsidRDefault="001A2B34" w:rsidP="00F07CD0">
      <w:pPr>
        <w:spacing w:before="60"/>
        <w:ind w:left="1416"/>
      </w:pPr>
      <w:r w:rsidRPr="001A2B34">
        <w:t>"Die Klassenlehrerin sagte, ich müsse zu Hause etwas gegen dein übermäßige</w:t>
      </w:r>
      <w:r w:rsidR="00F07CD0">
        <w:t>s Computerspielen unternehmen."</w:t>
      </w:r>
    </w:p>
    <w:p w14:paraId="5CBF66BD" w14:textId="020D7454" w:rsidR="00F07CD0" w:rsidRDefault="00F07CD0" w:rsidP="00F07CD0">
      <w:pPr>
        <w:spacing w:before="120"/>
        <w:ind w:left="708"/>
      </w:pPr>
      <w:r>
        <w:t>A</w:t>
      </w:r>
      <w:r w:rsidR="001A2B34" w:rsidRPr="001A2B34">
        <w:t xml:space="preserve">m Ende </w:t>
      </w:r>
      <w:r>
        <w:t xml:space="preserve">lässt sich daraus </w:t>
      </w:r>
      <w:r w:rsidR="001A2B34" w:rsidRPr="001A2B34">
        <w:t>die "</w:t>
      </w:r>
      <w:proofErr w:type="spellStart"/>
      <w:r w:rsidR="001A2B34" w:rsidRPr="00F07CD0">
        <w:rPr>
          <w:b/>
        </w:rPr>
        <w:t>modalisierte</w:t>
      </w:r>
      <w:proofErr w:type="spellEnd"/>
      <w:r w:rsidR="001A2B34" w:rsidRPr="00F07CD0">
        <w:rPr>
          <w:b/>
        </w:rPr>
        <w:t>" Äußerung</w:t>
      </w:r>
      <w:r w:rsidR="001A2B34" w:rsidRPr="001A2B34">
        <w:t xml:space="preserve"> </w:t>
      </w:r>
      <w:r>
        <w:t>bilden</w:t>
      </w:r>
    </w:p>
    <w:p w14:paraId="0E89F82D" w14:textId="35D54FC8" w:rsidR="001A2B34" w:rsidRPr="001A2B34" w:rsidRDefault="001A2B34" w:rsidP="00F07CD0">
      <w:pPr>
        <w:spacing w:before="120"/>
        <w:ind w:left="1416"/>
      </w:pPr>
      <w:r w:rsidRPr="001A2B34">
        <w:t>Es soll zu Hause etwas gegen dein übermäßiges Computerspielen unternommen werden."</w:t>
      </w:r>
    </w:p>
    <w:p w14:paraId="202562E9" w14:textId="6B5360ED" w:rsidR="00F07CD0" w:rsidRPr="00F07CD0" w:rsidRDefault="00F07CD0" w:rsidP="00F07CD0">
      <w:pPr>
        <w:spacing w:before="240" w:after="240"/>
        <w:rPr>
          <w:rFonts w:ascii="Cambria" w:eastAsiaTheme="majorEastAsia" w:hAnsi="Cambria" w:cstheme="majorBidi"/>
          <w:b/>
          <w:color w:val="365F91" w:themeColor="accent1" w:themeShade="BF"/>
          <w:szCs w:val="26"/>
        </w:rPr>
      </w:pPr>
      <w:r>
        <w:rPr>
          <w:rFonts w:ascii="Cambria" w:eastAsiaTheme="majorEastAsia" w:hAnsi="Cambria" w:cstheme="majorBidi"/>
          <w:b/>
          <w:color w:val="365F91" w:themeColor="accent1" w:themeShade="BF"/>
          <w:szCs w:val="26"/>
        </w:rPr>
        <w:t>Wollen</w:t>
      </w:r>
      <w:r>
        <w:rPr>
          <w:rFonts w:ascii="Cambria" w:eastAsiaTheme="majorEastAsia" w:hAnsi="Cambria" w:cstheme="majorBidi"/>
          <w:b/>
          <w:color w:val="365F91" w:themeColor="accent1" w:themeShade="BF"/>
          <w:szCs w:val="26"/>
        </w:rPr>
        <w:t xml:space="preserve"> </w:t>
      </w:r>
      <w:r>
        <w:rPr>
          <w:rFonts w:ascii="Cambria" w:eastAsiaTheme="majorEastAsia" w:hAnsi="Cambria" w:cstheme="majorBidi"/>
          <w:b/>
          <w:color w:val="365F91" w:themeColor="accent1" w:themeShade="BF"/>
          <w:szCs w:val="26"/>
        </w:rPr>
        <w:t>–</w:t>
      </w:r>
      <w:r>
        <w:rPr>
          <w:rFonts w:ascii="Cambria" w:eastAsiaTheme="majorEastAsia" w:hAnsi="Cambria" w:cstheme="majorBidi"/>
          <w:b/>
          <w:color w:val="365F91" w:themeColor="accent1" w:themeShade="BF"/>
          <w:szCs w:val="26"/>
        </w:rPr>
        <w:t xml:space="preserve"> </w:t>
      </w:r>
      <w:r>
        <w:rPr>
          <w:rFonts w:ascii="Cambria" w:eastAsiaTheme="majorEastAsia" w:hAnsi="Cambria" w:cstheme="majorBidi"/>
          <w:b/>
          <w:color w:val="365F91" w:themeColor="accent1" w:themeShade="BF"/>
          <w:szCs w:val="26"/>
        </w:rPr>
        <w:t>eine Primäräußerung in Ich-Form wiedergeben</w:t>
      </w:r>
    </w:p>
    <w:p w14:paraId="78BA651F" w14:textId="77777777" w:rsidR="00F07CD0" w:rsidRDefault="001A2B34" w:rsidP="001A2B34">
      <w:pPr>
        <w:spacing w:before="60"/>
      </w:pPr>
      <w:r w:rsidRPr="001A2B34">
        <w:t xml:space="preserve">Das Modalverb </w:t>
      </w:r>
      <w:r w:rsidRPr="001A2B34">
        <w:rPr>
          <w:b/>
          <w:bCs/>
        </w:rPr>
        <w:t>wollen</w:t>
      </w:r>
      <w:r w:rsidRPr="001A2B34">
        <w:t xml:space="preserve"> wird verwendet, wenn eine (primäre) Äußerung in Ich-Form wiedergegeben werden soll. </w:t>
      </w:r>
    </w:p>
    <w:p w14:paraId="5E027D16" w14:textId="21C64E60" w:rsidR="001A2B34" w:rsidRDefault="001A2B34" w:rsidP="001A2B34">
      <w:pPr>
        <w:spacing w:before="60"/>
      </w:pPr>
      <w:r w:rsidRPr="001A2B34">
        <w:t>Dabei muss die Primäräußerung allerdings wie im Falle von sollen etwas verändert werden.</w:t>
      </w:r>
    </w:p>
    <w:p w14:paraId="54C377EA" w14:textId="40D802A5" w:rsidR="00F07CD0" w:rsidRPr="00F07CD0" w:rsidRDefault="00F07CD0" w:rsidP="00F07CD0">
      <w:pPr>
        <w:spacing w:before="240" w:after="240"/>
        <w:ind w:left="708"/>
        <w:rPr>
          <w:rFonts w:asciiTheme="majorHAnsi" w:eastAsiaTheme="majorEastAsia" w:hAnsiTheme="majorHAnsi" w:cstheme="majorBidi"/>
          <w:b/>
          <w:color w:val="365F91" w:themeColor="accent1" w:themeShade="BF"/>
          <w:szCs w:val="26"/>
        </w:rPr>
      </w:pPr>
      <w:r w:rsidRPr="00F07CD0">
        <w:rPr>
          <w:rFonts w:asciiTheme="majorHAnsi" w:eastAsiaTheme="majorEastAsia" w:hAnsiTheme="majorHAnsi" w:cstheme="majorBidi"/>
          <w:b/>
          <w:color w:val="365F91" w:themeColor="accent1" w:themeShade="BF"/>
          <w:szCs w:val="26"/>
        </w:rPr>
        <w:t>Beispiel</w:t>
      </w:r>
      <w:bookmarkStart w:id="0" w:name="_GoBack"/>
      <w:bookmarkEnd w:id="0"/>
    </w:p>
    <w:p w14:paraId="00F94807" w14:textId="77777777" w:rsidR="00F07CD0" w:rsidRDefault="001A2B34" w:rsidP="00F07CD0">
      <w:pPr>
        <w:spacing w:before="120"/>
        <w:ind w:left="708"/>
      </w:pPr>
      <w:r w:rsidRPr="001A2B34">
        <w:t xml:space="preserve">Die Äußerung </w:t>
      </w:r>
    </w:p>
    <w:p w14:paraId="39EA5C18" w14:textId="764CD73B" w:rsidR="00F07CD0" w:rsidRDefault="001A2B34" w:rsidP="00F07CD0">
      <w:pPr>
        <w:spacing w:before="120"/>
        <w:ind w:left="1416"/>
      </w:pPr>
      <w:r w:rsidRPr="001A2B34">
        <w:t xml:space="preserve">"Ich bin das nicht gewesen" </w:t>
      </w:r>
    </w:p>
    <w:p w14:paraId="7E82AF8B" w14:textId="77777777" w:rsidR="00F07CD0" w:rsidRDefault="001A2B34" w:rsidP="00F07CD0">
      <w:pPr>
        <w:spacing w:before="120"/>
        <w:ind w:left="708"/>
      </w:pPr>
      <w:r w:rsidRPr="001A2B34">
        <w:t xml:space="preserve">wird in einer Zwischenstufe </w:t>
      </w:r>
    </w:p>
    <w:p w14:paraId="2B39DE29" w14:textId="76957316" w:rsidR="00F07CD0" w:rsidRDefault="001A2B34" w:rsidP="00F07CD0">
      <w:pPr>
        <w:spacing w:before="120"/>
        <w:ind w:left="1416"/>
      </w:pPr>
      <w:r w:rsidRPr="001A2B34">
        <w:t xml:space="preserve">"Er sagte, er sei das nicht gewesen" </w:t>
      </w:r>
    </w:p>
    <w:p w14:paraId="660C8BB5" w14:textId="77777777" w:rsidR="00F07CD0" w:rsidRDefault="001A2B34" w:rsidP="00F07CD0">
      <w:pPr>
        <w:spacing w:before="120"/>
        <w:ind w:left="708"/>
      </w:pPr>
      <w:r w:rsidRPr="001A2B34">
        <w:t xml:space="preserve">am Ende zur </w:t>
      </w:r>
      <w:r w:rsidRPr="00F07CD0">
        <w:rPr>
          <w:b/>
        </w:rPr>
        <w:t>"</w:t>
      </w:r>
      <w:proofErr w:type="spellStart"/>
      <w:r w:rsidRPr="00F07CD0">
        <w:rPr>
          <w:b/>
        </w:rPr>
        <w:t>modalisierten</w:t>
      </w:r>
      <w:proofErr w:type="spellEnd"/>
      <w:r w:rsidRPr="00F07CD0">
        <w:rPr>
          <w:b/>
        </w:rPr>
        <w:t>" Äußerung</w:t>
      </w:r>
      <w:r w:rsidRPr="001A2B34">
        <w:t xml:space="preserve"> </w:t>
      </w:r>
    </w:p>
    <w:p w14:paraId="3E3E3921" w14:textId="0A587D2B" w:rsidR="001A2B34" w:rsidRPr="001A2B34" w:rsidRDefault="001A2B34" w:rsidP="00F07CD0">
      <w:pPr>
        <w:spacing w:before="120"/>
        <w:ind w:left="1416"/>
      </w:pPr>
      <w:r w:rsidRPr="001A2B34">
        <w:t>"Er wolle es nicht gewesen sein."</w:t>
      </w:r>
    </w:p>
    <w:p w14:paraId="02B0B168" w14:textId="6FF71C04" w:rsidR="00D25BC9" w:rsidRPr="005A5688" w:rsidRDefault="00D25BC9" w:rsidP="001A2B34">
      <w:pPr>
        <w:spacing w:before="60"/>
      </w:pPr>
    </w:p>
    <w:sectPr w:rsidR="00D25BC9" w:rsidRPr="005A5688" w:rsidSect="00B27EC3">
      <w:type w:val="continuous"/>
      <w:pgSz w:w="11900" w:h="16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D56EE" w14:textId="77777777" w:rsidR="00220C03" w:rsidRDefault="00220C03" w:rsidP="003016EC">
      <w:r>
        <w:separator/>
      </w:r>
    </w:p>
  </w:endnote>
  <w:endnote w:type="continuationSeparator" w:id="0">
    <w:p w14:paraId="36C6B049" w14:textId="77777777" w:rsidR="00220C03" w:rsidRDefault="00220C03"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2AEF" w:usb1="D000A1FF" w:usb2="00000038" w:usb3="00000000" w:csb0="000001BF" w:csb1="00000000"/>
  </w:font>
  <w:font w:name="PMingLiU">
    <w:panose1 w:val="02020500000000000000"/>
    <w:charset w:val="88"/>
    <w:family w:val="auto"/>
    <w:pitch w:val="variable"/>
    <w:sig w:usb0="A00002FF" w:usb1="28CFFCFA" w:usb2="00000016" w:usb3="00000000" w:csb0="00100001"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77C68" w14:textId="77777777" w:rsidR="00017E5B" w:rsidRPr="001B52BE" w:rsidRDefault="00017E5B" w:rsidP="001B52B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6432" behindDoc="0" locked="0" layoutInCell="1" allowOverlap="1" wp14:anchorId="207D56CA" wp14:editId="03774001">
          <wp:simplePos x="0" y="0"/>
          <wp:positionH relativeFrom="column">
            <wp:posOffset>5016500</wp:posOffset>
          </wp:positionH>
          <wp:positionV relativeFrom="paragraph">
            <wp:posOffset>192405</wp:posOffset>
          </wp:positionV>
          <wp:extent cx="571500" cy="215900"/>
          <wp:effectExtent l="0" t="0" r="0" b="0"/>
          <wp:wrapSquare wrapText="bothSides"/>
          <wp:docPr id="6" name="Grafik 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w:t>
    </w:r>
    <w:r>
      <w:rPr>
        <w:rFonts w:ascii="Cambria" w:hAnsi="Cambria"/>
        <w:sz w:val="16"/>
        <w:szCs w:val="16"/>
      </w:rPr>
      <w:t>w</w:t>
    </w:r>
    <w:r w:rsidRPr="0022746E">
      <w:rPr>
        <w:rFonts w:ascii="Cambria" w:hAnsi="Cambria"/>
        <w:sz w:val="16"/>
        <w:szCs w:val="16"/>
      </w:rPr>
      <w:t xml:space="preserve">.teachsam.de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tgtFrame="_blank" w:history="1">
      <w:r w:rsidRPr="00382238">
        <w:rPr>
          <w:rStyle w:val="Link"/>
          <w:rFonts w:ascii="Cambria" w:hAnsi="Cambria" w:cs="Arial"/>
          <w:sz w:val="16"/>
          <w:szCs w:val="16"/>
          <w:u w:val="none"/>
        </w:rPr>
        <w:t>Creative Commons Namensnennung - Weitergabe unter gleichen Bedingungen 4.0 International Lizenz</w:t>
      </w:r>
      <w:r w:rsidRPr="00382238">
        <w:rPr>
          <w:rStyle w:val="Link"/>
          <w:rFonts w:ascii="Cambria" w:hAnsi="Cambria" w:cs="Helvetica Neue"/>
          <w:sz w:val="16"/>
          <w:szCs w:val="16"/>
          <w:u w:val="none"/>
        </w:rPr>
        <w:t>, CC-BY- SA</w:t>
      </w:r>
    </w:hyperlink>
    <w:r>
      <w:rPr>
        <w:rFonts w:ascii="Cambria" w:hAnsi="Cambria" w:cs="Helvetica Neue"/>
        <w:sz w:val="16"/>
        <w:szCs w:val="16"/>
      </w:rPr>
      <w:t xml:space="preserve">  -  </w:t>
    </w:r>
    <w:r w:rsidRPr="0022746E">
      <w:rPr>
        <w:rFonts w:ascii="Cambria" w:hAnsi="Cambria"/>
        <w:sz w:val="16"/>
        <w:szCs w:val="16"/>
      </w:rPr>
      <w:t xml:space="preserve">OER Logo © 2012 </w:t>
    </w:r>
    <w:proofErr w:type="spellStart"/>
    <w:r w:rsidRPr="0022746E">
      <w:rPr>
        <w:rFonts w:ascii="Cambria" w:hAnsi="Cambria"/>
        <w:sz w:val="16"/>
        <w:szCs w:val="16"/>
      </w:rPr>
      <w:t>Jonathas</w:t>
    </w:r>
    <w:proofErr w:type="spellEnd"/>
    <w:r w:rsidRPr="0022746E">
      <w:rPr>
        <w:rFonts w:ascii="Cambria" w:hAnsi="Cambria"/>
        <w:sz w:val="16"/>
        <w:szCs w:val="16"/>
      </w:rPr>
      <w:t xml:space="preserve"> Mello, </w:t>
    </w:r>
    <w:proofErr w:type="spellStart"/>
    <w:r w:rsidRPr="0022746E">
      <w:rPr>
        <w:rFonts w:ascii="Cambria" w:hAnsi="Cambria"/>
        <w:sz w:val="16"/>
        <w:szCs w:val="16"/>
      </w:rPr>
      <w:t>used</w:t>
    </w:r>
    <w:proofErr w:type="spellEnd"/>
    <w:r w:rsidRPr="0022746E">
      <w:rPr>
        <w:rFonts w:ascii="Cambria" w:hAnsi="Cambria"/>
        <w:sz w:val="16"/>
        <w:szCs w:val="16"/>
      </w:rPr>
      <w:t xml:space="preserve"> under a Creative Commons license BY-ND</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AAF82" w14:textId="77777777" w:rsidR="00017E5B" w:rsidRPr="0026014A" w:rsidRDefault="00017E5B" w:rsidP="0026014A">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5408" behindDoc="0" locked="0" layoutInCell="1" allowOverlap="1" wp14:anchorId="10DF17D2" wp14:editId="59A18245">
          <wp:simplePos x="0" y="0"/>
          <wp:positionH relativeFrom="column">
            <wp:posOffset>5016500</wp:posOffset>
          </wp:positionH>
          <wp:positionV relativeFrom="paragraph">
            <wp:posOffset>192405</wp:posOffset>
          </wp:positionV>
          <wp:extent cx="571500" cy="215900"/>
          <wp:effectExtent l="0" t="0" r="0" b="0"/>
          <wp:wrapSquare wrapText="bothSides"/>
          <wp:docPr id="7" name="Grafik 13"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w:t>
    </w:r>
    <w:r>
      <w:rPr>
        <w:rFonts w:ascii="Cambria" w:hAnsi="Cambria"/>
        <w:sz w:val="16"/>
        <w:szCs w:val="16"/>
      </w:rPr>
      <w:t>w</w:t>
    </w:r>
    <w:r w:rsidRPr="0022746E">
      <w:rPr>
        <w:rFonts w:ascii="Cambria" w:hAnsi="Cambria"/>
        <w:sz w:val="16"/>
        <w:szCs w:val="16"/>
      </w:rPr>
      <w:t xml:space="preserve">.teachsam.de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tgtFrame="_blank" w:history="1">
      <w:r w:rsidRPr="00382238">
        <w:rPr>
          <w:rStyle w:val="Link"/>
          <w:rFonts w:ascii="Cambria" w:hAnsi="Cambria" w:cs="Arial"/>
          <w:sz w:val="16"/>
          <w:szCs w:val="16"/>
          <w:u w:val="none"/>
        </w:rPr>
        <w:t>Creative Commons Namensnennung - Weitergabe unter gleichen Bedingungen 4.0 International Lizenz</w:t>
      </w:r>
      <w:r w:rsidRPr="00382238">
        <w:rPr>
          <w:rStyle w:val="Link"/>
          <w:rFonts w:ascii="Cambria" w:hAnsi="Cambria" w:cs="Helvetica Neue"/>
          <w:sz w:val="16"/>
          <w:szCs w:val="16"/>
          <w:u w:val="none"/>
        </w:rPr>
        <w:t>, CC-BY- SA</w:t>
      </w:r>
    </w:hyperlink>
    <w:r>
      <w:rPr>
        <w:rFonts w:ascii="Cambria" w:hAnsi="Cambria" w:cs="Helvetica Neue"/>
        <w:sz w:val="16"/>
        <w:szCs w:val="16"/>
      </w:rPr>
      <w:t xml:space="preserve">  -  </w:t>
    </w:r>
    <w:r w:rsidRPr="0022746E">
      <w:rPr>
        <w:rFonts w:ascii="Cambria" w:hAnsi="Cambria"/>
        <w:sz w:val="16"/>
        <w:szCs w:val="16"/>
      </w:rPr>
      <w:t xml:space="preserve">OER Logo © 2012 </w:t>
    </w:r>
    <w:proofErr w:type="spellStart"/>
    <w:r w:rsidRPr="0022746E">
      <w:rPr>
        <w:rFonts w:ascii="Cambria" w:hAnsi="Cambria"/>
        <w:sz w:val="16"/>
        <w:szCs w:val="16"/>
      </w:rPr>
      <w:t>Jonathas</w:t>
    </w:r>
    <w:proofErr w:type="spellEnd"/>
    <w:r w:rsidRPr="0022746E">
      <w:rPr>
        <w:rFonts w:ascii="Cambria" w:hAnsi="Cambria"/>
        <w:sz w:val="16"/>
        <w:szCs w:val="16"/>
      </w:rPr>
      <w:t xml:space="preserve"> Mello, </w:t>
    </w:r>
    <w:proofErr w:type="spellStart"/>
    <w:r w:rsidRPr="0022746E">
      <w:rPr>
        <w:rFonts w:ascii="Cambria" w:hAnsi="Cambria"/>
        <w:sz w:val="16"/>
        <w:szCs w:val="16"/>
      </w:rPr>
      <w:t>used</w:t>
    </w:r>
    <w:proofErr w:type="spellEnd"/>
    <w:r w:rsidRPr="0022746E">
      <w:rPr>
        <w:rFonts w:ascii="Cambria" w:hAnsi="Cambria"/>
        <w:sz w:val="16"/>
        <w:szCs w:val="16"/>
      </w:rPr>
      <w:t xml:space="preserve"> under a Creative Commons license BY-ND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B9B77" w14:textId="77777777" w:rsidR="00220C03" w:rsidRDefault="00220C03" w:rsidP="003016EC">
      <w:r>
        <w:separator/>
      </w:r>
    </w:p>
  </w:footnote>
  <w:footnote w:type="continuationSeparator" w:id="0">
    <w:p w14:paraId="0E833A11" w14:textId="77777777" w:rsidR="00220C03" w:rsidRDefault="00220C03" w:rsidP="003016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2742E" w14:textId="77777777" w:rsidR="00017E5B" w:rsidRPr="003B0F77" w:rsidRDefault="00017E5B" w:rsidP="001B6478">
    <w:pPr>
      <w:pStyle w:val="Kopfzeile"/>
      <w:tabs>
        <w:tab w:val="clear" w:pos="4536"/>
        <w:tab w:val="center" w:pos="5245"/>
        <w:tab w:val="left" w:pos="7230"/>
      </w:tabs>
      <w:jc w:val="center"/>
      <w:rPr>
        <w:rFonts w:asciiTheme="majorHAnsi" w:hAnsiTheme="majorHAnsi"/>
        <w:sz w:val="20"/>
      </w:rPr>
    </w:pPr>
    <w:r w:rsidRPr="00227AF7">
      <w:rPr>
        <w:rFonts w:asciiTheme="majorHAnsi" w:hAnsiTheme="majorHAnsi"/>
        <w:noProof/>
        <w:sz w:val="20"/>
      </w:rPr>
      <w:drawing>
        <wp:anchor distT="0" distB="0" distL="114300" distR="114300" simplePos="0" relativeHeight="251664384" behindDoc="0" locked="0" layoutInCell="1" allowOverlap="1" wp14:anchorId="710F9010" wp14:editId="7D16A1DB">
          <wp:simplePos x="0" y="0"/>
          <wp:positionH relativeFrom="column">
            <wp:posOffset>4797425</wp:posOffset>
          </wp:positionH>
          <wp:positionV relativeFrom="paragraph">
            <wp:posOffset>-169545</wp:posOffset>
          </wp:positionV>
          <wp:extent cx="897890" cy="596265"/>
          <wp:effectExtent l="0" t="0" r="0" b="0"/>
          <wp:wrapSquare wrapText="bothSides"/>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r>
    <w:r w:rsidRPr="003B0F77">
      <w:rPr>
        <w:rFonts w:asciiTheme="majorHAnsi" w:hAnsiTheme="majorHAnsi"/>
        <w:sz w:val="20"/>
      </w:rPr>
      <w:t>teachSam-OER 2014</w:t>
    </w:r>
  </w:p>
  <w:p w14:paraId="33AFFCED" w14:textId="77777777" w:rsidR="00017E5B" w:rsidRPr="001B6478" w:rsidRDefault="00017E5B" w:rsidP="001B6478">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6FFF7" w14:textId="77777777" w:rsidR="00017E5B" w:rsidRPr="003B0F77" w:rsidRDefault="00017E5B" w:rsidP="001B6478">
    <w:pPr>
      <w:pStyle w:val="Kopfzeile"/>
      <w:tabs>
        <w:tab w:val="clear" w:pos="4536"/>
        <w:tab w:val="center" w:pos="5245"/>
        <w:tab w:val="left" w:pos="7230"/>
      </w:tabs>
      <w:jc w:val="center"/>
      <w:rPr>
        <w:rFonts w:asciiTheme="majorHAnsi" w:hAnsiTheme="majorHAnsi"/>
        <w:sz w:val="20"/>
      </w:rPr>
    </w:pPr>
    <w:r w:rsidRPr="00227AF7">
      <w:rPr>
        <w:rFonts w:asciiTheme="majorHAnsi" w:hAnsiTheme="majorHAnsi"/>
        <w:noProof/>
        <w:sz w:val="20"/>
      </w:rPr>
      <w:drawing>
        <wp:anchor distT="0" distB="0" distL="114300" distR="114300" simplePos="0" relativeHeight="251663360" behindDoc="0" locked="0" layoutInCell="1" allowOverlap="1" wp14:anchorId="684C4C10" wp14:editId="520EE53E">
          <wp:simplePos x="0" y="0"/>
          <wp:positionH relativeFrom="column">
            <wp:posOffset>4797425</wp:posOffset>
          </wp:positionH>
          <wp:positionV relativeFrom="paragraph">
            <wp:posOffset>-169545</wp:posOffset>
          </wp:positionV>
          <wp:extent cx="897890" cy="596265"/>
          <wp:effectExtent l="0" t="0" r="0" b="0"/>
          <wp:wrapSquare wrapText="bothSides"/>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 xml:space="preserve">                                                                          </w:t>
    </w:r>
    <w:r w:rsidRPr="003B0F77">
      <w:rPr>
        <w:rFonts w:asciiTheme="majorHAnsi" w:hAnsiTheme="majorHAnsi"/>
        <w:sz w:val="20"/>
      </w:rPr>
      <w:t>teachSam-OER 20</w:t>
    </w:r>
    <w:r>
      <w:rPr>
        <w:rFonts w:asciiTheme="majorHAnsi" w:hAnsiTheme="majorHAnsi"/>
        <w:sz w:val="20"/>
      </w:rPr>
      <w:t>19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3479F"/>
    <w:multiLevelType w:val="hybridMultilevel"/>
    <w:tmpl w:val="A27E45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75169DC"/>
    <w:multiLevelType w:val="hybridMultilevel"/>
    <w:tmpl w:val="EF4E2C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1A762D6"/>
    <w:multiLevelType w:val="hybridMultilevel"/>
    <w:tmpl w:val="F078F5F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nsid w:val="16EE5AB7"/>
    <w:multiLevelType w:val="hybridMultilevel"/>
    <w:tmpl w:val="B55C1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7D15B24"/>
    <w:multiLevelType w:val="hybridMultilevel"/>
    <w:tmpl w:val="7BAE3D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D4B0758"/>
    <w:multiLevelType w:val="hybridMultilevel"/>
    <w:tmpl w:val="FCAE2A0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22530819"/>
    <w:multiLevelType w:val="hybridMultilevel"/>
    <w:tmpl w:val="ABC66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66F286E"/>
    <w:multiLevelType w:val="hybridMultilevel"/>
    <w:tmpl w:val="8CF6201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6F9590D"/>
    <w:multiLevelType w:val="hybridMultilevel"/>
    <w:tmpl w:val="3D4846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AEB411A"/>
    <w:multiLevelType w:val="hybridMultilevel"/>
    <w:tmpl w:val="3BDE3F9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30753788"/>
    <w:multiLevelType w:val="hybridMultilevel"/>
    <w:tmpl w:val="2E3AC5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2A10AEF"/>
    <w:multiLevelType w:val="hybridMultilevel"/>
    <w:tmpl w:val="496ABA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2BD3688"/>
    <w:multiLevelType w:val="hybridMultilevel"/>
    <w:tmpl w:val="8BD031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30338E6"/>
    <w:multiLevelType w:val="hybridMultilevel"/>
    <w:tmpl w:val="1AA695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A047057"/>
    <w:multiLevelType w:val="hybridMultilevel"/>
    <w:tmpl w:val="3872E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B8356F8"/>
    <w:multiLevelType w:val="hybridMultilevel"/>
    <w:tmpl w:val="73980A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2CD6440"/>
    <w:multiLevelType w:val="hybridMultilevel"/>
    <w:tmpl w:val="641CE09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45B861CB"/>
    <w:multiLevelType w:val="hybridMultilevel"/>
    <w:tmpl w:val="A1A22B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9785367"/>
    <w:multiLevelType w:val="hybridMultilevel"/>
    <w:tmpl w:val="CBF28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E183094"/>
    <w:multiLevelType w:val="hybridMultilevel"/>
    <w:tmpl w:val="A60C83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50F21296"/>
    <w:multiLevelType w:val="hybridMultilevel"/>
    <w:tmpl w:val="8EF00D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619390F"/>
    <w:multiLevelType w:val="hybridMultilevel"/>
    <w:tmpl w:val="6B66A9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6E1340A"/>
    <w:multiLevelType w:val="hybridMultilevel"/>
    <w:tmpl w:val="3BD2366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56F36C56"/>
    <w:multiLevelType w:val="hybridMultilevel"/>
    <w:tmpl w:val="DA6C06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82436F6"/>
    <w:multiLevelType w:val="hybridMultilevel"/>
    <w:tmpl w:val="9E500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9FF66EA"/>
    <w:multiLevelType w:val="multilevel"/>
    <w:tmpl w:val="BAAA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BA733F"/>
    <w:multiLevelType w:val="hybridMultilevel"/>
    <w:tmpl w:val="01186D1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6A7712C8"/>
    <w:multiLevelType w:val="hybridMultilevel"/>
    <w:tmpl w:val="50D439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6D8A0C11"/>
    <w:multiLevelType w:val="hybridMultilevel"/>
    <w:tmpl w:val="348664DC"/>
    <w:lvl w:ilvl="0" w:tplc="04070001">
      <w:start w:val="1"/>
      <w:numFmt w:val="bullet"/>
      <w:lvlText w:val=""/>
      <w:lvlJc w:val="left"/>
      <w:pPr>
        <w:ind w:left="708" w:hanging="360"/>
      </w:pPr>
      <w:rPr>
        <w:rFonts w:ascii="Symbol" w:hAnsi="Symbol" w:hint="default"/>
      </w:rPr>
    </w:lvl>
    <w:lvl w:ilvl="1" w:tplc="04070003" w:tentative="1">
      <w:start w:val="1"/>
      <w:numFmt w:val="bullet"/>
      <w:lvlText w:val="o"/>
      <w:lvlJc w:val="left"/>
      <w:pPr>
        <w:ind w:left="1428" w:hanging="360"/>
      </w:pPr>
      <w:rPr>
        <w:rFonts w:ascii="Courier New" w:hAnsi="Courier New" w:cs="Courier New" w:hint="default"/>
      </w:rPr>
    </w:lvl>
    <w:lvl w:ilvl="2" w:tplc="04070005" w:tentative="1">
      <w:start w:val="1"/>
      <w:numFmt w:val="bullet"/>
      <w:lvlText w:val=""/>
      <w:lvlJc w:val="left"/>
      <w:pPr>
        <w:ind w:left="2148" w:hanging="360"/>
      </w:pPr>
      <w:rPr>
        <w:rFonts w:ascii="Wingdings" w:hAnsi="Wingdings" w:hint="default"/>
      </w:rPr>
    </w:lvl>
    <w:lvl w:ilvl="3" w:tplc="04070001" w:tentative="1">
      <w:start w:val="1"/>
      <w:numFmt w:val="bullet"/>
      <w:lvlText w:val=""/>
      <w:lvlJc w:val="left"/>
      <w:pPr>
        <w:ind w:left="2868" w:hanging="360"/>
      </w:pPr>
      <w:rPr>
        <w:rFonts w:ascii="Symbol" w:hAnsi="Symbol" w:hint="default"/>
      </w:rPr>
    </w:lvl>
    <w:lvl w:ilvl="4" w:tplc="04070003" w:tentative="1">
      <w:start w:val="1"/>
      <w:numFmt w:val="bullet"/>
      <w:lvlText w:val="o"/>
      <w:lvlJc w:val="left"/>
      <w:pPr>
        <w:ind w:left="3588" w:hanging="360"/>
      </w:pPr>
      <w:rPr>
        <w:rFonts w:ascii="Courier New" w:hAnsi="Courier New" w:cs="Courier New" w:hint="default"/>
      </w:rPr>
    </w:lvl>
    <w:lvl w:ilvl="5" w:tplc="04070005" w:tentative="1">
      <w:start w:val="1"/>
      <w:numFmt w:val="bullet"/>
      <w:lvlText w:val=""/>
      <w:lvlJc w:val="left"/>
      <w:pPr>
        <w:ind w:left="4308" w:hanging="360"/>
      </w:pPr>
      <w:rPr>
        <w:rFonts w:ascii="Wingdings" w:hAnsi="Wingdings" w:hint="default"/>
      </w:rPr>
    </w:lvl>
    <w:lvl w:ilvl="6" w:tplc="04070001" w:tentative="1">
      <w:start w:val="1"/>
      <w:numFmt w:val="bullet"/>
      <w:lvlText w:val=""/>
      <w:lvlJc w:val="left"/>
      <w:pPr>
        <w:ind w:left="5028" w:hanging="360"/>
      </w:pPr>
      <w:rPr>
        <w:rFonts w:ascii="Symbol" w:hAnsi="Symbol" w:hint="default"/>
      </w:rPr>
    </w:lvl>
    <w:lvl w:ilvl="7" w:tplc="04070003" w:tentative="1">
      <w:start w:val="1"/>
      <w:numFmt w:val="bullet"/>
      <w:lvlText w:val="o"/>
      <w:lvlJc w:val="left"/>
      <w:pPr>
        <w:ind w:left="5748" w:hanging="360"/>
      </w:pPr>
      <w:rPr>
        <w:rFonts w:ascii="Courier New" w:hAnsi="Courier New" w:cs="Courier New" w:hint="default"/>
      </w:rPr>
    </w:lvl>
    <w:lvl w:ilvl="8" w:tplc="04070005" w:tentative="1">
      <w:start w:val="1"/>
      <w:numFmt w:val="bullet"/>
      <w:lvlText w:val=""/>
      <w:lvlJc w:val="left"/>
      <w:pPr>
        <w:ind w:left="6468" w:hanging="360"/>
      </w:pPr>
      <w:rPr>
        <w:rFonts w:ascii="Wingdings" w:hAnsi="Wingdings" w:hint="default"/>
      </w:rPr>
    </w:lvl>
  </w:abstractNum>
  <w:abstractNum w:abstractNumId="30">
    <w:nsid w:val="6F014CAF"/>
    <w:multiLevelType w:val="hybridMultilevel"/>
    <w:tmpl w:val="1F5A393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70E302CC"/>
    <w:multiLevelType w:val="hybridMultilevel"/>
    <w:tmpl w:val="F0E0593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71261E79"/>
    <w:multiLevelType w:val="hybridMultilevel"/>
    <w:tmpl w:val="42146452"/>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nsid w:val="72CF4DAD"/>
    <w:multiLevelType w:val="hybridMultilevel"/>
    <w:tmpl w:val="BC60323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nsid w:val="760873B3"/>
    <w:multiLevelType w:val="hybridMultilevel"/>
    <w:tmpl w:val="DF58B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B007473"/>
    <w:multiLevelType w:val="hybridMultilevel"/>
    <w:tmpl w:val="6568C19E"/>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7B750AC5"/>
    <w:multiLevelType w:val="hybridMultilevel"/>
    <w:tmpl w:val="8D28B1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C22074A"/>
    <w:multiLevelType w:val="hybridMultilevel"/>
    <w:tmpl w:val="93686670"/>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8">
    <w:nsid w:val="7D7F3EE7"/>
    <w:multiLevelType w:val="hybridMultilevel"/>
    <w:tmpl w:val="D3ECAA8E"/>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25"/>
  </w:num>
  <w:num w:numId="4">
    <w:abstractNumId w:val="7"/>
  </w:num>
  <w:num w:numId="5">
    <w:abstractNumId w:val="31"/>
  </w:num>
  <w:num w:numId="6">
    <w:abstractNumId w:val="3"/>
  </w:num>
  <w:num w:numId="7">
    <w:abstractNumId w:val="2"/>
  </w:num>
  <w:num w:numId="8">
    <w:abstractNumId w:val="0"/>
  </w:num>
  <w:num w:numId="9">
    <w:abstractNumId w:val="15"/>
  </w:num>
  <w:num w:numId="10">
    <w:abstractNumId w:val="34"/>
  </w:num>
  <w:num w:numId="11">
    <w:abstractNumId w:val="28"/>
  </w:num>
  <w:num w:numId="12">
    <w:abstractNumId w:val="20"/>
  </w:num>
  <w:num w:numId="13">
    <w:abstractNumId w:val="29"/>
  </w:num>
  <w:num w:numId="14">
    <w:abstractNumId w:val="16"/>
  </w:num>
  <w:num w:numId="15">
    <w:abstractNumId w:val="9"/>
  </w:num>
  <w:num w:numId="16">
    <w:abstractNumId w:val="12"/>
  </w:num>
  <w:num w:numId="17">
    <w:abstractNumId w:val="5"/>
  </w:num>
  <w:num w:numId="18">
    <w:abstractNumId w:val="8"/>
  </w:num>
  <w:num w:numId="19">
    <w:abstractNumId w:val="35"/>
  </w:num>
  <w:num w:numId="20">
    <w:abstractNumId w:val="24"/>
  </w:num>
  <w:num w:numId="21">
    <w:abstractNumId w:val="1"/>
  </w:num>
  <w:num w:numId="22">
    <w:abstractNumId w:val="4"/>
  </w:num>
  <w:num w:numId="23">
    <w:abstractNumId w:val="22"/>
  </w:num>
  <w:num w:numId="24">
    <w:abstractNumId w:val="21"/>
  </w:num>
  <w:num w:numId="25">
    <w:abstractNumId w:val="38"/>
  </w:num>
  <w:num w:numId="26">
    <w:abstractNumId w:val="36"/>
  </w:num>
  <w:num w:numId="27">
    <w:abstractNumId w:val="17"/>
  </w:num>
  <w:num w:numId="28">
    <w:abstractNumId w:val="37"/>
  </w:num>
  <w:num w:numId="29">
    <w:abstractNumId w:val="26"/>
  </w:num>
  <w:num w:numId="30">
    <w:abstractNumId w:val="30"/>
  </w:num>
  <w:num w:numId="31">
    <w:abstractNumId w:val="6"/>
  </w:num>
  <w:num w:numId="32">
    <w:abstractNumId w:val="33"/>
  </w:num>
  <w:num w:numId="33">
    <w:abstractNumId w:val="13"/>
  </w:num>
  <w:num w:numId="34">
    <w:abstractNumId w:val="23"/>
  </w:num>
  <w:num w:numId="35">
    <w:abstractNumId w:val="27"/>
  </w:num>
  <w:num w:numId="36">
    <w:abstractNumId w:val="10"/>
  </w:num>
  <w:num w:numId="37">
    <w:abstractNumId w:val="14"/>
  </w:num>
  <w:num w:numId="38">
    <w:abstractNumId w:val="32"/>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hyphenationZone w:val="425"/>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F18"/>
    <w:rsid w:val="00017E5B"/>
    <w:rsid w:val="000320C5"/>
    <w:rsid w:val="00057F89"/>
    <w:rsid w:val="00065E89"/>
    <w:rsid w:val="000A0C8B"/>
    <w:rsid w:val="000A2339"/>
    <w:rsid w:val="000F3433"/>
    <w:rsid w:val="00153614"/>
    <w:rsid w:val="00183329"/>
    <w:rsid w:val="0019512F"/>
    <w:rsid w:val="001A2B34"/>
    <w:rsid w:val="001A69B0"/>
    <w:rsid w:val="001B52BE"/>
    <w:rsid w:val="001B6478"/>
    <w:rsid w:val="001C6226"/>
    <w:rsid w:val="001C62B6"/>
    <w:rsid w:val="002012E8"/>
    <w:rsid w:val="00212839"/>
    <w:rsid w:val="00216E98"/>
    <w:rsid w:val="00220C03"/>
    <w:rsid w:val="00227AF7"/>
    <w:rsid w:val="00236BDA"/>
    <w:rsid w:val="00250E98"/>
    <w:rsid w:val="0026014A"/>
    <w:rsid w:val="0026778B"/>
    <w:rsid w:val="00277E18"/>
    <w:rsid w:val="002C7DAA"/>
    <w:rsid w:val="002F2CA4"/>
    <w:rsid w:val="002F7A3B"/>
    <w:rsid w:val="003016EC"/>
    <w:rsid w:val="00322803"/>
    <w:rsid w:val="0036238C"/>
    <w:rsid w:val="00370F12"/>
    <w:rsid w:val="00372475"/>
    <w:rsid w:val="00382238"/>
    <w:rsid w:val="003861AD"/>
    <w:rsid w:val="00397058"/>
    <w:rsid w:val="003A41EC"/>
    <w:rsid w:val="003B0F77"/>
    <w:rsid w:val="003B2FF8"/>
    <w:rsid w:val="003C698F"/>
    <w:rsid w:val="003F0DEC"/>
    <w:rsid w:val="003F115E"/>
    <w:rsid w:val="003F7FF2"/>
    <w:rsid w:val="00401B30"/>
    <w:rsid w:val="004231AC"/>
    <w:rsid w:val="00455B09"/>
    <w:rsid w:val="00473430"/>
    <w:rsid w:val="004867C5"/>
    <w:rsid w:val="00486EE5"/>
    <w:rsid w:val="004A3253"/>
    <w:rsid w:val="004D4C73"/>
    <w:rsid w:val="00546872"/>
    <w:rsid w:val="005513EF"/>
    <w:rsid w:val="00592822"/>
    <w:rsid w:val="005A068A"/>
    <w:rsid w:val="005A5688"/>
    <w:rsid w:val="005B4958"/>
    <w:rsid w:val="005B7D8B"/>
    <w:rsid w:val="005E04BD"/>
    <w:rsid w:val="005F1807"/>
    <w:rsid w:val="005F4234"/>
    <w:rsid w:val="006411D4"/>
    <w:rsid w:val="00643843"/>
    <w:rsid w:val="00661704"/>
    <w:rsid w:val="006629B6"/>
    <w:rsid w:val="00674CB5"/>
    <w:rsid w:val="006A4AAD"/>
    <w:rsid w:val="00707ECD"/>
    <w:rsid w:val="00717F9D"/>
    <w:rsid w:val="0073794C"/>
    <w:rsid w:val="007528A3"/>
    <w:rsid w:val="0078630F"/>
    <w:rsid w:val="007A3F18"/>
    <w:rsid w:val="007D56D8"/>
    <w:rsid w:val="007F4323"/>
    <w:rsid w:val="007F6FDC"/>
    <w:rsid w:val="007F744C"/>
    <w:rsid w:val="00800374"/>
    <w:rsid w:val="0085791F"/>
    <w:rsid w:val="008A7AED"/>
    <w:rsid w:val="008E43E6"/>
    <w:rsid w:val="008F6F18"/>
    <w:rsid w:val="00904E22"/>
    <w:rsid w:val="00913AF8"/>
    <w:rsid w:val="00913C61"/>
    <w:rsid w:val="00935348"/>
    <w:rsid w:val="00951D30"/>
    <w:rsid w:val="00976B08"/>
    <w:rsid w:val="00985A16"/>
    <w:rsid w:val="00987661"/>
    <w:rsid w:val="009A5419"/>
    <w:rsid w:val="009B080D"/>
    <w:rsid w:val="009B57D5"/>
    <w:rsid w:val="009E43EF"/>
    <w:rsid w:val="00A05BA7"/>
    <w:rsid w:val="00A27D10"/>
    <w:rsid w:val="00A559DB"/>
    <w:rsid w:val="00AA7AC4"/>
    <w:rsid w:val="00AB4BA4"/>
    <w:rsid w:val="00AF7544"/>
    <w:rsid w:val="00B27EC3"/>
    <w:rsid w:val="00B35E13"/>
    <w:rsid w:val="00B443E5"/>
    <w:rsid w:val="00BA7605"/>
    <w:rsid w:val="00BB562E"/>
    <w:rsid w:val="00BC6F8C"/>
    <w:rsid w:val="00BD69DD"/>
    <w:rsid w:val="00C0249D"/>
    <w:rsid w:val="00C46117"/>
    <w:rsid w:val="00C47743"/>
    <w:rsid w:val="00C61BAA"/>
    <w:rsid w:val="00C61D7E"/>
    <w:rsid w:val="00D2507C"/>
    <w:rsid w:val="00D25BC9"/>
    <w:rsid w:val="00D327EA"/>
    <w:rsid w:val="00D32EE8"/>
    <w:rsid w:val="00D34DBA"/>
    <w:rsid w:val="00D564FD"/>
    <w:rsid w:val="00D768A1"/>
    <w:rsid w:val="00D9673C"/>
    <w:rsid w:val="00E73416"/>
    <w:rsid w:val="00EC2549"/>
    <w:rsid w:val="00EE2BE8"/>
    <w:rsid w:val="00EF0591"/>
    <w:rsid w:val="00F042D7"/>
    <w:rsid w:val="00F0664A"/>
    <w:rsid w:val="00F07CD0"/>
    <w:rsid w:val="00F300C0"/>
    <w:rsid w:val="00F3736C"/>
    <w:rsid w:val="00F50AE4"/>
    <w:rsid w:val="00F746D1"/>
    <w:rsid w:val="00F8035C"/>
    <w:rsid w:val="00FA1870"/>
    <w:rsid w:val="00FA2CF0"/>
    <w:rsid w:val="00FA7678"/>
    <w:rsid w:val="00FE3D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9ADA87"/>
  <w14:defaultImageDpi w14:val="300"/>
  <w15:docId w15:val="{BB554163-6E1A-4FE1-92EC-0007CC160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32EE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7F744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B443E5"/>
    <w:pPr>
      <w:keepNext/>
      <w:overflowPunct w:val="0"/>
      <w:autoSpaceDE w:val="0"/>
      <w:autoSpaceDN w:val="0"/>
      <w:adjustRightInd w:val="0"/>
      <w:spacing w:before="240" w:after="60"/>
      <w:textAlignment w:val="baseline"/>
      <w:outlineLvl w:val="2"/>
    </w:pPr>
    <w:rPr>
      <w:rFonts w:ascii="Arial" w:eastAsia="Times New Roman" w:hAnsi="Arial" w:cs="Arial"/>
      <w:b/>
      <w:bCs/>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iPriority w:val="99"/>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character" w:customStyle="1" w:styleId="berschrift1Zchn">
    <w:name w:val="Überschrift 1 Zchn"/>
    <w:basedOn w:val="Absatz-Standardschriftart"/>
    <w:link w:val="berschrift1"/>
    <w:uiPriority w:val="9"/>
    <w:rsid w:val="00D32EE8"/>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7F744C"/>
    <w:rPr>
      <w:rFonts w:asciiTheme="majorHAnsi" w:eastAsiaTheme="majorEastAsia" w:hAnsiTheme="majorHAnsi" w:cstheme="majorBidi"/>
      <w:color w:val="365F91" w:themeColor="accent1" w:themeShade="BF"/>
      <w:sz w:val="26"/>
      <w:szCs w:val="26"/>
    </w:rPr>
  </w:style>
  <w:style w:type="paragraph" w:styleId="StandardWeb">
    <w:name w:val="Normal (Web)"/>
    <w:basedOn w:val="Standard"/>
    <w:uiPriority w:val="99"/>
    <w:semiHidden/>
    <w:unhideWhenUsed/>
    <w:rsid w:val="002012E8"/>
    <w:pPr>
      <w:spacing w:before="100" w:beforeAutospacing="1" w:after="100" w:afterAutospacing="1"/>
    </w:pPr>
    <w:rPr>
      <w:rFonts w:ascii="Times New Roman" w:hAnsi="Times New Roman" w:cs="Times New Roman"/>
    </w:rPr>
  </w:style>
  <w:style w:type="character" w:customStyle="1" w:styleId="berschrift3Zchn">
    <w:name w:val="Überschrift 3 Zchn"/>
    <w:basedOn w:val="Absatz-Standardschriftart"/>
    <w:link w:val="berschrift3"/>
    <w:rsid w:val="00B443E5"/>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5898">
      <w:bodyDiv w:val="1"/>
      <w:marLeft w:val="0"/>
      <w:marRight w:val="0"/>
      <w:marTop w:val="0"/>
      <w:marBottom w:val="0"/>
      <w:divBdr>
        <w:top w:val="none" w:sz="0" w:space="0" w:color="auto"/>
        <w:left w:val="none" w:sz="0" w:space="0" w:color="auto"/>
        <w:bottom w:val="none" w:sz="0" w:space="0" w:color="auto"/>
        <w:right w:val="none" w:sz="0" w:space="0" w:color="auto"/>
      </w:divBdr>
    </w:div>
    <w:div w:id="971404090">
      <w:bodyDiv w:val="1"/>
      <w:marLeft w:val="0"/>
      <w:marRight w:val="0"/>
      <w:marTop w:val="0"/>
      <w:marBottom w:val="0"/>
      <w:divBdr>
        <w:top w:val="none" w:sz="0" w:space="0" w:color="auto"/>
        <w:left w:val="none" w:sz="0" w:space="0" w:color="auto"/>
        <w:bottom w:val="none" w:sz="0" w:space="0" w:color="auto"/>
        <w:right w:val="none" w:sz="0" w:space="0" w:color="auto"/>
      </w:divBdr>
    </w:div>
    <w:div w:id="990330845">
      <w:bodyDiv w:val="1"/>
      <w:marLeft w:val="0"/>
      <w:marRight w:val="0"/>
      <w:marTop w:val="0"/>
      <w:marBottom w:val="0"/>
      <w:divBdr>
        <w:top w:val="none" w:sz="0" w:space="0" w:color="auto"/>
        <w:left w:val="none" w:sz="0" w:space="0" w:color="auto"/>
        <w:bottom w:val="none" w:sz="0" w:space="0" w:color="auto"/>
        <w:right w:val="none" w:sz="0" w:space="0" w:color="auto"/>
      </w:divBdr>
    </w:div>
    <w:div w:id="1640380116">
      <w:bodyDiv w:val="1"/>
      <w:marLeft w:val="0"/>
      <w:marRight w:val="0"/>
      <w:marTop w:val="0"/>
      <w:marBottom w:val="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image" Target="media/image3.emf"/><Relationship Id="rId13" Type="http://schemas.openxmlformats.org/officeDocument/2006/relationships/image" Target="media/image4.emf"/><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s://creativecommons.org/licenses/by-sa/4.0/legalcod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s://creativecommons.org/licenses/by-sa/4.0/legalc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C22A4-5B74-EE46-8BC6-E4159B6FB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2281</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2</cp:revision>
  <cp:lastPrinted>2019-04-22T13:00:00Z</cp:lastPrinted>
  <dcterms:created xsi:type="dcterms:W3CDTF">2019-04-22T13:17:00Z</dcterms:created>
  <dcterms:modified xsi:type="dcterms:W3CDTF">2019-04-22T13:17:00Z</dcterms:modified>
</cp:coreProperties>
</file>