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9712F5" w:rsidRDefault="009712F5" w:rsidP="000D5E21">
      <w:pPr>
        <w:pStyle w:val="berschrift1"/>
        <w:spacing w:after="0"/>
        <w:rPr>
          <w:rFonts w:ascii="Cambria" w:hAnsi="Cambria"/>
          <w:color w:val="000000" w:themeColor="text1"/>
        </w:rPr>
      </w:pPr>
      <w:bookmarkStart w:id="0" w:name="_Toc30345940"/>
      <w:r>
        <w:rPr>
          <w:rFonts w:ascii="Cambria" w:hAnsi="Cambria"/>
          <w:color w:val="548DD4" w:themeColor="text2" w:themeTint="99"/>
          <w:sz w:val="32"/>
        </w:rPr>
        <w:t>Zuhören</w:t>
      </w:r>
      <w:r>
        <w:rPr>
          <w:rFonts w:ascii="Cambria" w:hAnsi="Cambria"/>
          <w:color w:val="548DD4" w:themeColor="text2" w:themeTint="99"/>
          <w:sz w:val="32"/>
        </w:rPr>
        <w:br/>
      </w:r>
      <w:r w:rsidRPr="009712F5">
        <w:rPr>
          <w:rFonts w:ascii="Cambria" w:hAnsi="Cambria"/>
          <w:color w:val="000000" w:themeColor="text1"/>
        </w:rPr>
        <w:t>Die Aktivität des Zuhörers in der partnerschaftlichen Kommunikation</w:t>
      </w:r>
    </w:p>
    <w:bookmarkEnd w:id="0"/>
    <w:p w:rsidR="009712F5" w:rsidRPr="009712F5" w:rsidRDefault="009712F5" w:rsidP="009712F5">
      <w:pPr>
        <w:spacing w:before="120" w:after="120"/>
        <w:rPr>
          <w:rFonts w:asciiTheme="majorHAnsi" w:hAnsiTheme="majorHAnsi"/>
        </w:rPr>
      </w:pPr>
      <w:r w:rsidRPr="009712F5">
        <w:rPr>
          <w:rFonts w:asciiTheme="majorHAnsi" w:hAnsiTheme="majorHAnsi"/>
          <w:b/>
        </w:rPr>
        <w:t>Partnerschaftliches Argumentieren</w:t>
      </w:r>
      <w:r w:rsidRPr="009712F5">
        <w:rPr>
          <w:rFonts w:asciiTheme="majorHAnsi" w:hAnsiTheme="majorHAnsi"/>
        </w:rPr>
        <w:t xml:space="preserve"> und Diskutieren verlangt auch vom Hörer eine aktive Beteiligung. Zuhören ist eine Form dieser aktiven Beteiligung. </w:t>
      </w:r>
    </w:p>
    <w:p w:rsidR="009712F5" w:rsidRDefault="00B04441" w:rsidP="009712F5">
      <w:pPr>
        <w:spacing w:after="120"/>
        <w:rPr>
          <w:rFonts w:asciiTheme="majorHAnsi" w:hAnsiTheme="majorHAnsi"/>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4.7pt;margin-top:-.35pt;width:281.75pt;height:470.5pt;z-index:251659264;mso-position-horizontal-relative:text;mso-position-vertical-relative:text">
            <v:imagedata r:id="rId8" o:title=""/>
            <w10:wrap type="square"/>
          </v:shape>
          <o:OLEObject Type="Embed" ProgID="Word.Picture.8" ShapeID="_x0000_s1026" DrawAspect="Content" ObjectID="_1485242948" r:id="rId9"/>
        </w:object>
      </w:r>
      <w:r w:rsidR="009712F5" w:rsidRPr="009712F5">
        <w:rPr>
          <w:rFonts w:asciiTheme="majorHAnsi" w:hAnsiTheme="majorHAnsi"/>
          <w:b/>
        </w:rPr>
        <w:t>Zuhören ist eine Aktivität des Hörers</w:t>
      </w:r>
      <w:r w:rsidR="009712F5" w:rsidRPr="009712F5">
        <w:rPr>
          <w:rFonts w:asciiTheme="majorHAnsi" w:hAnsiTheme="majorHAnsi"/>
        </w:rPr>
        <w:t xml:space="preserve"> und diese Aktivität kann sich verbal, aber häufiger sogar nonverbal (durch Körperhaltung, Mimik und Gestik) zeigen. Von den verschiedenen Höreraktivitäten sind die </w:t>
      </w:r>
      <w:r w:rsidR="009712F5" w:rsidRPr="009712F5">
        <w:rPr>
          <w:rFonts w:asciiTheme="majorHAnsi" w:hAnsiTheme="majorHAnsi"/>
          <w:b/>
        </w:rPr>
        <w:t>Interaktions- bzw. Kontaktsignale</w:t>
      </w:r>
      <w:r w:rsidR="009712F5" w:rsidRPr="009712F5">
        <w:rPr>
          <w:rFonts w:asciiTheme="majorHAnsi" w:hAnsiTheme="majorHAnsi"/>
        </w:rPr>
        <w:t xml:space="preserve"> beim so genannten </w:t>
      </w:r>
      <w:r w:rsidR="009712F5" w:rsidRPr="009712F5">
        <w:rPr>
          <w:rFonts w:asciiTheme="majorHAnsi" w:hAnsiTheme="majorHAnsi"/>
          <w:b/>
        </w:rPr>
        <w:t>Hörer-Feedbac</w:t>
      </w:r>
      <w:r w:rsidR="009712F5" w:rsidRPr="009712F5">
        <w:rPr>
          <w:rFonts w:asciiTheme="majorHAnsi" w:hAnsiTheme="majorHAnsi"/>
        </w:rPr>
        <w:t>k besonders wichtig.</w:t>
      </w:r>
      <w:r w:rsidR="009712F5">
        <w:rPr>
          <w:rFonts w:asciiTheme="majorHAnsi" w:hAnsiTheme="majorHAnsi"/>
        </w:rPr>
        <w:br/>
        <w:t>Die</w:t>
      </w:r>
      <w:r w:rsidR="009712F5" w:rsidRPr="009712F5">
        <w:rPr>
          <w:rFonts w:asciiTheme="majorHAnsi" w:hAnsiTheme="majorHAnsi"/>
        </w:rPr>
        <w:t xml:space="preserve"> Art, wie man zuhört, </w:t>
      </w:r>
      <w:r w:rsidR="009712F5">
        <w:rPr>
          <w:rFonts w:asciiTheme="majorHAnsi" w:hAnsiTheme="majorHAnsi"/>
        </w:rPr>
        <w:t xml:space="preserve">hat </w:t>
      </w:r>
      <w:r w:rsidR="009712F5" w:rsidRPr="009712F5">
        <w:rPr>
          <w:rFonts w:asciiTheme="majorHAnsi" w:hAnsiTheme="majorHAnsi"/>
        </w:rPr>
        <w:t xml:space="preserve">maßgeblichen Einfluss auf den Verlauf einer argumentativen Auseinandersetzung. Allerdings geschieht die Art und Weise, wie wir als Hörer in einem Gespräch parallel zu </w:t>
      </w:r>
      <w:proofErr w:type="gramStart"/>
      <w:r w:rsidR="009712F5" w:rsidRPr="009712F5">
        <w:rPr>
          <w:rFonts w:asciiTheme="majorHAnsi" w:hAnsiTheme="majorHAnsi"/>
        </w:rPr>
        <w:t>dem</w:t>
      </w:r>
      <w:proofErr w:type="gramEnd"/>
      <w:r w:rsidR="009712F5" w:rsidRPr="009712F5">
        <w:rPr>
          <w:rFonts w:asciiTheme="majorHAnsi" w:hAnsiTheme="majorHAnsi"/>
        </w:rPr>
        <w:t xml:space="preserve"> Gesagten Rückmeldung geben, meistens mehr oder weniger automatisch</w:t>
      </w:r>
      <w:r w:rsidR="009712F5">
        <w:rPr>
          <w:rFonts w:asciiTheme="majorHAnsi" w:hAnsiTheme="majorHAnsi"/>
        </w:rPr>
        <w:t xml:space="preserve">. Dadurch </w:t>
      </w:r>
      <w:r w:rsidR="009712F5" w:rsidRPr="009712F5">
        <w:rPr>
          <w:rFonts w:asciiTheme="majorHAnsi" w:hAnsiTheme="majorHAnsi"/>
        </w:rPr>
        <w:t xml:space="preserve">entzieht </w:t>
      </w:r>
      <w:r w:rsidR="009712F5">
        <w:rPr>
          <w:rFonts w:asciiTheme="majorHAnsi" w:hAnsiTheme="majorHAnsi"/>
        </w:rPr>
        <w:t xml:space="preserve">es </w:t>
      </w:r>
      <w:r w:rsidR="009712F5" w:rsidRPr="009712F5">
        <w:rPr>
          <w:rFonts w:asciiTheme="majorHAnsi" w:hAnsiTheme="majorHAnsi"/>
        </w:rPr>
        <w:t>sich</w:t>
      </w:r>
      <w:r w:rsidR="009712F5">
        <w:rPr>
          <w:rFonts w:asciiTheme="majorHAnsi" w:hAnsiTheme="majorHAnsi"/>
        </w:rPr>
        <w:t xml:space="preserve"> oft</w:t>
      </w:r>
      <w:r w:rsidR="009712F5" w:rsidRPr="009712F5">
        <w:rPr>
          <w:rFonts w:asciiTheme="majorHAnsi" w:hAnsiTheme="majorHAnsi"/>
        </w:rPr>
        <w:t xml:space="preserve"> unserer direkten Steuerung. Aber natürlich kann man auch nur den "guten" Zuhörer vortäuschen, insbesondere wenn, wie im Fall eines Telefongesprächs</w:t>
      </w:r>
      <w:r w:rsidR="009712F5">
        <w:rPr>
          <w:rFonts w:asciiTheme="majorHAnsi" w:hAnsiTheme="majorHAnsi"/>
        </w:rPr>
        <w:t>,</w:t>
      </w:r>
      <w:r w:rsidR="009712F5" w:rsidRPr="009712F5">
        <w:rPr>
          <w:rFonts w:asciiTheme="majorHAnsi" w:hAnsiTheme="majorHAnsi"/>
        </w:rPr>
        <w:t xml:space="preserve"> andere nonverbale Signale den Sprecher am anderen Ende der Leitung nicht erreichen.</w:t>
      </w:r>
    </w:p>
    <w:p w:rsidR="009712F5" w:rsidRPr="009712F5" w:rsidRDefault="009712F5" w:rsidP="009712F5">
      <w:pPr>
        <w:rPr>
          <w:rFonts w:asciiTheme="majorHAnsi" w:hAnsiTheme="majorHAnsi"/>
        </w:rPr>
      </w:pPr>
      <w:r w:rsidRPr="009712F5">
        <w:rPr>
          <w:rFonts w:asciiTheme="majorHAnsi" w:hAnsiTheme="majorHAnsi"/>
        </w:rPr>
        <w:t xml:space="preserve">Signale, mit denen wir als Hörer dem Sprecher unsere Aufmerksamkeit bezeugen oder das Gesagte kommentieren, wirken sich direkt auf jedes Gespräch und damit auch auf eine argumentative Auseinandersetzung aus. Besondere Bedeutung haben beim so genannten </w:t>
      </w:r>
      <w:r w:rsidRPr="009712F5">
        <w:rPr>
          <w:rFonts w:asciiTheme="majorHAnsi" w:hAnsiTheme="majorHAnsi"/>
          <w:b/>
        </w:rPr>
        <w:t xml:space="preserve">Hörer-Feedback </w:t>
      </w:r>
      <w:r w:rsidRPr="009712F5">
        <w:rPr>
          <w:rFonts w:asciiTheme="majorHAnsi" w:hAnsiTheme="majorHAnsi"/>
        </w:rPr>
        <w:t xml:space="preserve">z.B. folgende Höreraktivitäten: </w:t>
      </w:r>
    </w:p>
    <w:p w:rsidR="009712F5" w:rsidRPr="009712F5" w:rsidRDefault="009712F5" w:rsidP="009712F5">
      <w:pPr>
        <w:numPr>
          <w:ilvl w:val="0"/>
          <w:numId w:val="14"/>
        </w:numPr>
        <w:spacing w:after="120" w:line="240" w:lineRule="auto"/>
        <w:rPr>
          <w:rFonts w:asciiTheme="majorHAnsi" w:hAnsiTheme="majorHAnsi"/>
        </w:rPr>
      </w:pPr>
      <w:r w:rsidRPr="009712F5">
        <w:rPr>
          <w:rFonts w:asciiTheme="majorHAnsi" w:hAnsiTheme="majorHAnsi"/>
        </w:rPr>
        <w:t>Wird einem Sprecher vom Hörer eine (subjektiv) zu geringe Aufmerksamkeit geschenkt, so kann dies zu Verunsicherungen und Ärger seitens des Sprechers führen. Konsequenz daraus kann sein, dass nun der Sprecher selbst die Initiative ergreift und mit entsprechenden Signalen (Rückfragen und tag-</w:t>
      </w:r>
      <w:proofErr w:type="spellStart"/>
      <w:r w:rsidRPr="009712F5">
        <w:rPr>
          <w:rFonts w:asciiTheme="majorHAnsi" w:hAnsiTheme="majorHAnsi"/>
        </w:rPr>
        <w:t>questions</w:t>
      </w:r>
      <w:proofErr w:type="spellEnd"/>
      <w:r w:rsidRPr="009712F5">
        <w:rPr>
          <w:rFonts w:asciiTheme="majorHAnsi" w:hAnsiTheme="majorHAnsi"/>
        </w:rPr>
        <w:t xml:space="preserve"> wie nicht wahr? o. ä.) nun seinerseits das gewünschte Hörer-Feedback bei nächster Gelegenheit einfordert.</w:t>
      </w:r>
    </w:p>
    <w:p w:rsidR="009712F5" w:rsidRDefault="009712F5" w:rsidP="009712F5">
      <w:pPr>
        <w:numPr>
          <w:ilvl w:val="0"/>
          <w:numId w:val="14"/>
        </w:numPr>
        <w:spacing w:after="120" w:line="240" w:lineRule="auto"/>
        <w:rPr>
          <w:rFonts w:asciiTheme="majorHAnsi" w:hAnsiTheme="majorHAnsi"/>
        </w:rPr>
      </w:pPr>
      <w:r w:rsidRPr="009712F5">
        <w:rPr>
          <w:rFonts w:asciiTheme="majorHAnsi" w:hAnsiTheme="majorHAnsi"/>
        </w:rPr>
        <w:lastRenderedPageBreak/>
        <w:t>Wem als Sprecher wahrnimmt, dass seine Zuhörer Stirnrunzeln, d.h. die Stirn in Falten legen, sieht sich unter Umständen veranlasst, seine gemachten Aussagen zu präzisieren, zu erläutern, mit weiteren Argumenten "nachzudoppeln" u. ä.</w:t>
      </w:r>
      <w:r>
        <w:rPr>
          <w:rFonts w:asciiTheme="majorHAnsi" w:hAnsiTheme="majorHAnsi"/>
        </w:rPr>
        <w:br/>
      </w:r>
    </w:p>
    <w:p w:rsidR="009712F5" w:rsidRPr="009712F5" w:rsidRDefault="009712F5" w:rsidP="009712F5">
      <w:pPr>
        <w:rPr>
          <w:rFonts w:asciiTheme="majorHAnsi" w:hAnsiTheme="majorHAnsi"/>
          <w:b/>
          <w:sz w:val="24"/>
        </w:rPr>
      </w:pPr>
      <w:r w:rsidRPr="009712F5">
        <w:rPr>
          <w:rFonts w:asciiTheme="majorHAnsi" w:hAnsiTheme="majorHAnsi"/>
          <w:b/>
          <w:sz w:val="24"/>
        </w:rPr>
        <w:t>Arten des Zuhörens</w:t>
      </w:r>
    </w:p>
    <w:p w:rsidR="009712F5" w:rsidRPr="009712F5" w:rsidRDefault="009712F5" w:rsidP="009712F5">
      <w:pPr>
        <w:rPr>
          <w:rFonts w:asciiTheme="majorHAnsi" w:hAnsiTheme="majorHAnsi"/>
        </w:rPr>
      </w:pPr>
      <w:r w:rsidRPr="009712F5">
        <w:rPr>
          <w:rFonts w:asciiTheme="majorHAnsi" w:hAnsiTheme="majorHAnsi"/>
        </w:rPr>
        <w:t>Man kann vier verschiedene Arten des Zuhörens unterscheiden:</w:t>
      </w:r>
      <w:r>
        <w:rPr>
          <w:rFonts w:asciiTheme="majorHAnsi" w:hAnsiTheme="majorHAnsi"/>
        </w:rPr>
        <w:br/>
      </w:r>
    </w:p>
    <w:bookmarkStart w:id="1" w:name="_MON_1091267351"/>
    <w:bookmarkStart w:id="2" w:name="_MON_1091266007"/>
    <w:bookmarkEnd w:id="1"/>
    <w:bookmarkEnd w:id="2"/>
    <w:bookmarkStart w:id="3" w:name="_MON_1091267288"/>
    <w:bookmarkEnd w:id="3"/>
    <w:p w:rsidR="009712F5" w:rsidRPr="00D363DD" w:rsidRDefault="00B04441" w:rsidP="009712F5">
      <w:pPr>
        <w:jc w:val="center"/>
      </w:pPr>
      <w:r>
        <w:object w:dxaOrig="5400" w:dyaOrig="9120">
          <v:shape id="_x0000_i1036" type="#_x0000_t75" style="width:270pt;height:446pt" o:ole="">
            <v:imagedata r:id="rId10" o:title="" cropbottom="1459f"/>
          </v:shape>
          <o:OLEObject Type="Embed" ProgID="Word.Picture.8" ShapeID="_x0000_i1036" DrawAspect="Content" ObjectID="_1485242947" r:id="rId11"/>
        </w:object>
      </w:r>
      <w:bookmarkStart w:id="4" w:name="_GoBack"/>
      <w:bookmarkEnd w:id="4"/>
    </w:p>
    <w:p w:rsidR="009712F5" w:rsidRPr="009712F5" w:rsidRDefault="00372626" w:rsidP="00372626">
      <w:pPr>
        <w:spacing w:after="120"/>
        <w:jc w:val="right"/>
        <w:rPr>
          <w:rFonts w:asciiTheme="majorHAnsi" w:hAnsiTheme="majorHAnsi"/>
        </w:rPr>
      </w:pPr>
      <w:r>
        <w:rPr>
          <w:rFonts w:asciiTheme="majorHAnsi" w:hAnsiTheme="majorHAnsi"/>
        </w:rPr>
        <w:t>(</w:t>
      </w:r>
      <w:r>
        <w:rPr>
          <w:rFonts w:asciiTheme="majorHAnsi" w:hAnsiTheme="majorHAnsi"/>
        </w:rPr>
        <w:sym w:font="Symbol" w:char="F0AE"/>
      </w:r>
      <w:hyperlink r:id="rId12" w:tgtFrame="_blank" w:history="1">
        <w:r w:rsidRPr="00372626">
          <w:rPr>
            <w:rStyle w:val="Hyperlink"/>
            <w:rFonts w:asciiTheme="majorHAnsi" w:hAnsiTheme="majorHAnsi"/>
          </w:rPr>
          <w:t>Aktives Zuhören</w:t>
        </w:r>
      </w:hyperlink>
      <w:r>
        <w:rPr>
          <w:rFonts w:asciiTheme="majorHAnsi" w:hAnsiTheme="majorHAnsi"/>
        </w:rPr>
        <w:t>)</w:t>
      </w:r>
    </w:p>
    <w:p w:rsidR="00283D35" w:rsidRDefault="00C93FA1" w:rsidP="00C93FA1">
      <w:pPr>
        <w:rPr>
          <w:b/>
        </w:rPr>
      </w:pPr>
      <w:r>
        <w:rPr>
          <w:b/>
        </w:rPr>
        <w:t>Arbeitsanregun</w:t>
      </w:r>
      <w:r w:rsidR="009712F5">
        <w:rPr>
          <w:b/>
        </w:rPr>
        <w:t>gen</w:t>
      </w:r>
      <w:r>
        <w:rPr>
          <w:b/>
        </w:rPr>
        <w:t xml:space="preserve">: </w:t>
      </w:r>
    </w:p>
    <w:p w:rsidR="00283D35" w:rsidRDefault="009712F5" w:rsidP="00283D35">
      <w:pPr>
        <w:pStyle w:val="Listenabsatz"/>
        <w:numPr>
          <w:ilvl w:val="0"/>
          <w:numId w:val="13"/>
        </w:numPr>
      </w:pPr>
      <w:r>
        <w:t>Erklären Sie: Warum entziehen sich viele Hörer-Feedback-Signale der Wahrnehmung des Hörers?</w:t>
      </w:r>
    </w:p>
    <w:p w:rsidR="009712F5" w:rsidRDefault="009712F5" w:rsidP="00283D35">
      <w:pPr>
        <w:pStyle w:val="Listenabsatz"/>
        <w:numPr>
          <w:ilvl w:val="0"/>
          <w:numId w:val="13"/>
        </w:numPr>
      </w:pPr>
      <w:r>
        <w:t>Stellen Sie die verschiedenen Arten des Zuhörens in Rollenspielen dar.</w:t>
      </w:r>
    </w:p>
    <w:p w:rsidR="00607BFF" w:rsidRDefault="00607BFF" w:rsidP="00397833">
      <w:pPr>
        <w:pStyle w:val="Listenabsatz"/>
      </w:pPr>
    </w:p>
    <w:sectPr w:rsidR="00607BFF" w:rsidSect="00A204EF">
      <w:headerReference w:type="default" r:id="rId13"/>
      <w:foot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B04441"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61916333"/>
        <w:docPartObj>
          <w:docPartGallery w:val="Page Numbers (Margins)"/>
          <w:docPartUnique/>
        </w:docPartObj>
      </w:sdtPr>
      <w:sdtEndPr/>
      <w:sdtContent>
        <w:r w:rsidR="00397833" w:rsidRPr="00397833">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33" w:rsidRDefault="00397833">
                              <w:pPr>
                                <w:pBdr>
                                  <w:bottom w:val="single" w:sz="4" w:space="1" w:color="auto"/>
                                </w:pBdr>
                              </w:pPr>
                              <w:r>
                                <w:fldChar w:fldCharType="begin"/>
                              </w:r>
                              <w:r>
                                <w:instrText>PAGE   \* MERGEFORMAT</w:instrText>
                              </w:r>
                              <w:r>
                                <w:fldChar w:fldCharType="separate"/>
                              </w:r>
                              <w:r w:rsidR="00B0444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0"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U4gQIAAAY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yNU4gQIA&#10;AAYFAAAOAAAAAAAAAAAAAAAAAC4CAABkcnMvZTJvRG9jLnhtbFBLAQItABQABgAIAAAAIQBxpoaD&#10;3AAAAAQBAAAPAAAAAAAAAAAAAAAAANsEAABkcnMvZG93bnJldi54bWxQSwUGAAAAAAQABADzAAAA&#10;5AUAAAAA&#10;" o:allowincell="f" stroked="f">
                  <v:textbox>
                    <w:txbxContent>
                      <w:p w:rsidR="00397833" w:rsidRDefault="00397833">
                        <w:pPr>
                          <w:pBdr>
                            <w:bottom w:val="single" w:sz="4" w:space="1" w:color="auto"/>
                          </w:pBdr>
                        </w:pPr>
                        <w:r>
                          <w:fldChar w:fldCharType="begin"/>
                        </w:r>
                        <w:r>
                          <w:instrText>PAGE   \* MERGEFORMAT</w:instrText>
                        </w:r>
                        <w:r>
                          <w:fldChar w:fldCharType="separate"/>
                        </w:r>
                        <w:r w:rsidR="00B04441">
                          <w:rPr>
                            <w:noProof/>
                          </w:rPr>
                          <w:t>2</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5">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1">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12">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2"/>
  </w:num>
  <w:num w:numId="4">
    <w:abstractNumId w:val="8"/>
  </w:num>
  <w:num w:numId="5">
    <w:abstractNumId w:val="13"/>
  </w:num>
  <w:num w:numId="6">
    <w:abstractNumId w:val="9"/>
  </w:num>
  <w:num w:numId="7">
    <w:abstractNumId w:val="7"/>
  </w:num>
  <w:num w:numId="8">
    <w:abstractNumId w:val="0"/>
  </w:num>
  <w:num w:numId="9">
    <w:abstractNumId w:val="11"/>
  </w:num>
  <w:num w:numId="10">
    <w:abstractNumId w:val="1"/>
  </w:num>
  <w:num w:numId="11">
    <w:abstractNumId w:val="10"/>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53F39"/>
    <w:rsid w:val="00074F4B"/>
    <w:rsid w:val="000D5E21"/>
    <w:rsid w:val="001A19EC"/>
    <w:rsid w:val="00283D35"/>
    <w:rsid w:val="00297F75"/>
    <w:rsid w:val="002E5557"/>
    <w:rsid w:val="00372626"/>
    <w:rsid w:val="00397833"/>
    <w:rsid w:val="003C1203"/>
    <w:rsid w:val="003D2C3A"/>
    <w:rsid w:val="0045146F"/>
    <w:rsid w:val="004E5E5F"/>
    <w:rsid w:val="004F00A4"/>
    <w:rsid w:val="005E76F8"/>
    <w:rsid w:val="00607BFF"/>
    <w:rsid w:val="007C661F"/>
    <w:rsid w:val="008476CA"/>
    <w:rsid w:val="00870709"/>
    <w:rsid w:val="00897B21"/>
    <w:rsid w:val="008C01DC"/>
    <w:rsid w:val="009712F5"/>
    <w:rsid w:val="00A204EF"/>
    <w:rsid w:val="00B04441"/>
    <w:rsid w:val="00B81F2C"/>
    <w:rsid w:val="00C63866"/>
    <w:rsid w:val="00C93FA1"/>
    <w:rsid w:val="00CA7510"/>
    <w:rsid w:val="00D453BE"/>
    <w:rsid w:val="00E55B3E"/>
    <w:rsid w:val="00EE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ja1ko26pydvr8w1/arg%20zuhoeren%20aktives%20eg%20OER.docx?d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5F35-5F6B-4CD6-8077-C74D2089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6</cp:revision>
  <cp:lastPrinted>2015-02-11T10:58:00Z</cp:lastPrinted>
  <dcterms:created xsi:type="dcterms:W3CDTF">2015-02-11T10:44:00Z</dcterms:created>
  <dcterms:modified xsi:type="dcterms:W3CDTF">2015-02-12T09:42:00Z</dcterms:modified>
</cp:coreProperties>
</file>