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C1" w:rsidRDefault="001352FE" w:rsidP="00D97DC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Geltungsansprüche</w:t>
      </w:r>
      <w:r w:rsidR="00DE4164">
        <w:rPr>
          <w:rFonts w:asciiTheme="majorHAnsi" w:hAnsiTheme="majorHAnsi"/>
          <w:b/>
          <w:color w:val="4F81BD" w:themeColor="accent1"/>
          <w:sz w:val="32"/>
          <w:lang w:eastAsia="de-DE"/>
        </w:rPr>
        <w:t xml:space="preserve"> beim Argumentieren</w:t>
      </w:r>
    </w:p>
    <w:p w:rsidR="00E16918" w:rsidRDefault="00862EE9" w:rsidP="00E16918">
      <w:pPr>
        <w:spacing w:after="0"/>
        <w:jc w:val="both"/>
        <w:rPr>
          <w:rFonts w:ascii="Cambria" w:hAnsi="Cambria"/>
        </w:rPr>
      </w:pPr>
      <w:r w:rsidRPr="00E16918">
        <w:rPr>
          <w:rFonts w:ascii="Cambria" w:hAnsi="Cambria"/>
        </w:rPr>
        <w:t>Wenn sich Menschen in einer mehr oder weniger gut funktionierenden "Argumentationskultur" (Gethmann 1979, S.43), im Idealfall alle gleichermaßen befähigt, gleichberechtigt und mit den gleichen Möglichkeiten versehen</w:t>
      </w:r>
      <w:r w:rsidR="00DE4164">
        <w:rPr>
          <w:rFonts w:ascii="Cambria" w:hAnsi="Cambria"/>
        </w:rPr>
        <w:t>,</w:t>
      </w:r>
      <w:r w:rsidRPr="00E16918">
        <w:rPr>
          <w:rFonts w:ascii="Cambria" w:hAnsi="Cambria"/>
        </w:rPr>
        <w:t xml:space="preserve"> mit Argumenten darüber auseinandersetzen, was zwischen ihnen strittig ist, dann geht es im Kern immer um die Frage, ob und wie weit das, was jemand behauptet, Geltung beanspruchen kann. </w:t>
      </w:r>
      <w:bookmarkStart w:id="0" w:name="_GoBack"/>
      <w:bookmarkEnd w:id="0"/>
    </w:p>
    <w:p w:rsidR="00862EE9" w:rsidRPr="00E16918" w:rsidRDefault="00862EE9" w:rsidP="00E16918">
      <w:pPr>
        <w:spacing w:after="0"/>
        <w:jc w:val="both"/>
        <w:rPr>
          <w:rFonts w:ascii="Cambria" w:hAnsi="Cambria"/>
        </w:rPr>
      </w:pPr>
      <w:r w:rsidRPr="00E16918">
        <w:rPr>
          <w:rFonts w:ascii="Cambria" w:hAnsi="Cambria"/>
        </w:rPr>
        <w:t>Solange miteinander gestritten (engl. to argue = streiten) und diskutiert wird, werden zur Behauptung eines bestimmten Standpunktes unterschiedliche Geltungsansprüche erhoben. Damit wird der Anspruch unterstrichen, dass das, was man äußert, nicht nur eine ganz und gar persönliche, für andere völlig unverbindliche subjektive Gewissheit darstellt, sondern auch für die anderen, also intersubjektiv, verbindlich und gültig ist. Dabei erlangt ein Geltungsanspruch erst dann Gültigkeit, wenn es tatsächlich gelingt, den erhobenen Geltungsanspruch auch einzulösen. (vgl. Kopperschmidt 1989, S.16)</w:t>
      </w:r>
    </w:p>
    <w:p w:rsidR="005926AE" w:rsidRPr="00E16918" w:rsidRDefault="00862EE9" w:rsidP="00E16918">
      <w:pPr>
        <w:spacing w:before="240" w:after="240"/>
        <w:jc w:val="both"/>
        <w:rPr>
          <w:rFonts w:ascii="Cambria" w:hAnsi="Cambria"/>
        </w:rPr>
      </w:pPr>
      <w:r w:rsidRPr="00E16918">
        <w:rPr>
          <w:rFonts w:ascii="Cambria" w:hAnsi="Cambria"/>
        </w:rPr>
        <w:t xml:space="preserve">Grundsätzlich können zwei verschiedene Arten von Geltungsansprüchen unterschieden werden, die sich mit jeweils unterschiedlichen Arten von Aussagen verbinden. </w:t>
      </w:r>
    </w:p>
    <w:p w:rsidR="00B771FA" w:rsidRPr="00B771FA" w:rsidRDefault="00862EE9" w:rsidP="00E16918">
      <w:pPr>
        <w:spacing w:after="240"/>
        <w:jc w:val="center"/>
        <w:rPr>
          <w:b/>
        </w:rPr>
      </w:pPr>
      <w:r>
        <w:rPr>
          <w:b/>
          <w:noProof/>
          <w:lang w:eastAsia="de-DE"/>
        </w:rPr>
        <w:drawing>
          <wp:inline distT="0" distB="0" distL="0" distR="0">
            <wp:extent cx="3710829" cy="3207433"/>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ltungsansprueche.png"/>
                    <pic:cNvPicPr/>
                  </pic:nvPicPr>
                  <pic:blipFill>
                    <a:blip r:embed="rId8">
                      <a:extLst>
                        <a:ext uri="{28A0092B-C50C-407E-A947-70E740481C1C}">
                          <a14:useLocalDpi xmlns:a14="http://schemas.microsoft.com/office/drawing/2010/main" val="0"/>
                        </a:ext>
                      </a:extLst>
                    </a:blip>
                    <a:stretch>
                      <a:fillRect/>
                    </a:stretch>
                  </pic:blipFill>
                  <pic:spPr>
                    <a:xfrm>
                      <a:off x="0" y="0"/>
                      <a:ext cx="3823258" cy="3304610"/>
                    </a:xfrm>
                    <a:prstGeom prst="rect">
                      <a:avLst/>
                    </a:prstGeom>
                  </pic:spPr>
                </pic:pic>
              </a:graphicData>
            </a:graphic>
          </wp:inline>
        </w:drawing>
      </w:r>
    </w:p>
    <w:p w:rsidR="008C0350" w:rsidRPr="00D77140" w:rsidRDefault="008C0350" w:rsidP="00B771FA">
      <w:pPr>
        <w:spacing w:after="0"/>
        <w:rPr>
          <w:sz w:val="8"/>
        </w:rPr>
      </w:pPr>
    </w:p>
    <w:p w:rsidR="0030543A" w:rsidRDefault="00D77140" w:rsidP="00E16918">
      <w:pPr>
        <w:spacing w:after="0"/>
        <w:jc w:val="both"/>
        <w:rPr>
          <w:rFonts w:asciiTheme="majorHAnsi" w:hAnsiTheme="majorHAnsi"/>
        </w:rPr>
      </w:pPr>
      <w:r w:rsidRPr="00D77140">
        <w:rPr>
          <w:rFonts w:asciiTheme="majorHAnsi" w:hAnsiTheme="majorHAnsi"/>
        </w:rPr>
        <w:t xml:space="preserve">Wer Aussagen mit dem Anspruch auf Wahrheit macht, stellt damit </w:t>
      </w:r>
      <w:r w:rsidRPr="00E16918">
        <w:rPr>
          <w:rFonts w:asciiTheme="majorHAnsi" w:hAnsiTheme="majorHAnsi"/>
          <w:b/>
          <w:bCs/>
        </w:rPr>
        <w:t>Tatsachenbehauptungen</w:t>
      </w:r>
      <w:r w:rsidRPr="00D77140">
        <w:rPr>
          <w:rFonts w:asciiTheme="majorHAnsi" w:hAnsiTheme="majorHAnsi"/>
        </w:rPr>
        <w:t xml:space="preserve"> auf, wer Aussagen mit dem Anspruch normativer Richtigkeit formuliert, äußert im Allgemeinen </w:t>
      </w:r>
      <w:r w:rsidRPr="00E16918">
        <w:rPr>
          <w:rFonts w:asciiTheme="majorHAnsi" w:hAnsiTheme="majorHAnsi"/>
          <w:b/>
          <w:bCs/>
        </w:rPr>
        <w:t>Werturteile</w:t>
      </w:r>
      <w:r w:rsidRPr="00D77140">
        <w:rPr>
          <w:rFonts w:asciiTheme="majorHAnsi" w:hAnsiTheme="majorHAnsi"/>
        </w:rPr>
        <w:t>.</w:t>
      </w:r>
    </w:p>
    <w:p w:rsidR="00D77140" w:rsidRPr="00D77140" w:rsidRDefault="00D77140" w:rsidP="00D77140">
      <w:pPr>
        <w:spacing w:before="120" w:after="120"/>
        <w:rPr>
          <w:rFonts w:asciiTheme="majorHAnsi" w:hAnsiTheme="majorHAnsi"/>
          <w:sz w:val="16"/>
          <w:szCs w:val="16"/>
        </w:rPr>
      </w:pPr>
      <w:r w:rsidRPr="00D77140">
        <w:rPr>
          <w:rFonts w:asciiTheme="majorHAnsi" w:hAnsiTheme="majorHAnsi"/>
          <w:sz w:val="16"/>
          <w:szCs w:val="16"/>
        </w:rPr>
        <w:t>Quellen:</w:t>
      </w:r>
      <w:r w:rsidR="00E16918">
        <w:rPr>
          <w:rFonts w:asciiTheme="majorHAnsi" w:hAnsiTheme="majorHAnsi"/>
          <w:sz w:val="16"/>
          <w:szCs w:val="16"/>
        </w:rPr>
        <w:t xml:space="preserve">  </w:t>
      </w:r>
      <w:r w:rsidRPr="00D77140">
        <w:rPr>
          <w:rFonts w:asciiTheme="majorHAnsi" w:hAnsiTheme="majorHAnsi" w:cs="ArialMT"/>
          <w:bCs/>
          <w:sz w:val="16"/>
          <w:szCs w:val="16"/>
        </w:rPr>
        <w:t>Gethmann, C.</w:t>
      </w:r>
      <w:r w:rsidRPr="00D77140">
        <w:rPr>
          <w:rFonts w:asciiTheme="majorHAnsi" w:hAnsiTheme="majorHAnsi" w:cs="ArialMT"/>
          <w:sz w:val="16"/>
          <w:szCs w:val="16"/>
        </w:rPr>
        <w:t>: Protologik, Frankfurt 1979</w:t>
      </w:r>
      <w:r w:rsidR="00E16918">
        <w:rPr>
          <w:rFonts w:asciiTheme="majorHAnsi" w:hAnsiTheme="majorHAnsi" w:cs="ArialMT"/>
          <w:sz w:val="16"/>
          <w:szCs w:val="16"/>
        </w:rPr>
        <w:t>;</w:t>
      </w:r>
      <w:r w:rsidRPr="00D77140">
        <w:rPr>
          <w:rFonts w:asciiTheme="majorHAnsi" w:hAnsiTheme="majorHAnsi" w:cs="ArialMT"/>
          <w:bCs/>
          <w:sz w:val="16"/>
          <w:szCs w:val="16"/>
        </w:rPr>
        <w:t xml:space="preserve">Kopperschmidt, </w:t>
      </w:r>
      <w:r w:rsidR="00E16918">
        <w:rPr>
          <w:rFonts w:asciiTheme="majorHAnsi" w:hAnsiTheme="majorHAnsi" w:cs="ArialMT"/>
          <w:bCs/>
          <w:sz w:val="16"/>
          <w:szCs w:val="16"/>
        </w:rPr>
        <w:t>J.</w:t>
      </w:r>
      <w:r w:rsidRPr="00D77140">
        <w:rPr>
          <w:rFonts w:asciiTheme="majorHAnsi" w:hAnsiTheme="majorHAnsi" w:cs="ArialMT"/>
          <w:sz w:val="16"/>
          <w:szCs w:val="16"/>
        </w:rPr>
        <w:t>: Methodik der Argumentationsanalyse, Stuttgart 1989</w:t>
      </w:r>
    </w:p>
    <w:p w:rsidR="00D77140" w:rsidRPr="00D77140" w:rsidRDefault="00D77140" w:rsidP="00E50B60">
      <w:pPr>
        <w:spacing w:after="0"/>
        <w:rPr>
          <w:b/>
          <w:sz w:val="10"/>
        </w:rPr>
      </w:pPr>
    </w:p>
    <w:p w:rsidR="00BC5D52" w:rsidRPr="00D77140" w:rsidRDefault="00D86C80" w:rsidP="00E50B60">
      <w:pPr>
        <w:spacing w:after="0"/>
        <w:rPr>
          <w:b/>
          <w:sz w:val="6"/>
        </w:rPr>
      </w:pPr>
      <w:r w:rsidRPr="009E3850">
        <w:rPr>
          <w:b/>
        </w:rPr>
        <w:t>Arbeitsanregungen:</w:t>
      </w:r>
      <w:r w:rsidR="0030543A">
        <w:rPr>
          <w:b/>
        </w:rPr>
        <w:br/>
      </w:r>
    </w:p>
    <w:p w:rsidR="00E16918" w:rsidRDefault="00E16918" w:rsidP="00135056">
      <w:pPr>
        <w:numPr>
          <w:ilvl w:val="0"/>
          <w:numId w:val="1"/>
        </w:numPr>
        <w:spacing w:after="0" w:line="240" w:lineRule="auto"/>
      </w:pPr>
      <w:r>
        <w:t>Ergänzen Sie die Leerstellen des obigen Schaubildes.</w:t>
      </w:r>
    </w:p>
    <w:p w:rsidR="00D97DC1" w:rsidRDefault="00D77140" w:rsidP="00135056">
      <w:pPr>
        <w:numPr>
          <w:ilvl w:val="0"/>
          <w:numId w:val="1"/>
        </w:numPr>
        <w:spacing w:after="0" w:line="240" w:lineRule="auto"/>
      </w:pPr>
      <w:r>
        <w:t xml:space="preserve">Formulieren Sie je 5 Aussagen mit den beiden Geltungsansprüchen. </w:t>
      </w:r>
    </w:p>
    <w:p w:rsidR="00705291" w:rsidRDefault="00D77140" w:rsidP="00D77140">
      <w:pPr>
        <w:numPr>
          <w:ilvl w:val="0"/>
          <w:numId w:val="1"/>
        </w:numPr>
        <w:spacing w:after="0" w:line="240" w:lineRule="auto"/>
      </w:pPr>
      <w:r>
        <w:t>Vermischen Sie die Aussagen in einer Liste und stellen Sie Ihren Mitschülern die Aufgabe, die Aussagen den richtigen Geltungsansprüchen zuzuordnen.</w:t>
      </w:r>
    </w:p>
    <w:sectPr w:rsidR="00705291"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EE" w:rsidRDefault="00A138EE" w:rsidP="00A204EF">
      <w:pPr>
        <w:spacing w:after="0" w:line="240" w:lineRule="auto"/>
      </w:pPr>
      <w:r>
        <w:separator/>
      </w:r>
    </w:p>
  </w:endnote>
  <w:endnote w:type="continuationSeparator" w:id="0">
    <w:p w:rsidR="00A138EE" w:rsidRDefault="00A138EE"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EE" w:rsidRDefault="00A138EE" w:rsidP="00A204EF">
      <w:pPr>
        <w:spacing w:after="0" w:line="240" w:lineRule="auto"/>
      </w:pPr>
      <w:r>
        <w:separator/>
      </w:r>
    </w:p>
  </w:footnote>
  <w:footnote w:type="continuationSeparator" w:id="0">
    <w:p w:rsidR="00A138EE" w:rsidRDefault="00A138EE"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E16918" w:rsidRDefault="00897B21" w:rsidP="00E16918">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w:t>
    </w:r>
    <w:r w:rsidR="00E16918">
      <w:rPr>
        <w:rFonts w:asciiTheme="majorHAnsi" w:hAnsiTheme="maj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2"/>
  </w:num>
  <w:num w:numId="5">
    <w:abstractNumId w:val="11"/>
  </w:num>
  <w:num w:numId="6">
    <w:abstractNumId w:val="2"/>
  </w:num>
  <w:num w:numId="7">
    <w:abstractNumId w:val="3"/>
  </w:num>
  <w:num w:numId="8">
    <w:abstractNumId w:val="0"/>
  </w:num>
  <w:num w:numId="9">
    <w:abstractNumId w:val="9"/>
  </w:num>
  <w:num w:numId="10">
    <w:abstractNumId w:val="1"/>
  </w:num>
  <w:num w:numId="11">
    <w:abstractNumId w:val="6"/>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EF"/>
    <w:rsid w:val="000031A8"/>
    <w:rsid w:val="00032603"/>
    <w:rsid w:val="00041AC4"/>
    <w:rsid w:val="00046399"/>
    <w:rsid w:val="00053F39"/>
    <w:rsid w:val="0007306B"/>
    <w:rsid w:val="00074F4B"/>
    <w:rsid w:val="00076C4A"/>
    <w:rsid w:val="0009011F"/>
    <w:rsid w:val="000D5E21"/>
    <w:rsid w:val="00135056"/>
    <w:rsid w:val="001352FE"/>
    <w:rsid w:val="00192ECA"/>
    <w:rsid w:val="00195AB5"/>
    <w:rsid w:val="001A19EC"/>
    <w:rsid w:val="001B1684"/>
    <w:rsid w:val="001B1858"/>
    <w:rsid w:val="001C49E9"/>
    <w:rsid w:val="001C749A"/>
    <w:rsid w:val="001E6D50"/>
    <w:rsid w:val="001F2E4F"/>
    <w:rsid w:val="002244FE"/>
    <w:rsid w:val="00283D35"/>
    <w:rsid w:val="00297F75"/>
    <w:rsid w:val="002B6C9F"/>
    <w:rsid w:val="002E5557"/>
    <w:rsid w:val="0030543A"/>
    <w:rsid w:val="00343515"/>
    <w:rsid w:val="00346FD0"/>
    <w:rsid w:val="00352A89"/>
    <w:rsid w:val="00356BE1"/>
    <w:rsid w:val="00372626"/>
    <w:rsid w:val="003777C1"/>
    <w:rsid w:val="00391F51"/>
    <w:rsid w:val="00397833"/>
    <w:rsid w:val="003A059B"/>
    <w:rsid w:val="003C1203"/>
    <w:rsid w:val="003D2C3A"/>
    <w:rsid w:val="0045146F"/>
    <w:rsid w:val="00455063"/>
    <w:rsid w:val="004E5E5F"/>
    <w:rsid w:val="004F00A4"/>
    <w:rsid w:val="004F779D"/>
    <w:rsid w:val="00565867"/>
    <w:rsid w:val="00591814"/>
    <w:rsid w:val="005926AE"/>
    <w:rsid w:val="00596943"/>
    <w:rsid w:val="005D10B7"/>
    <w:rsid w:val="005E76F8"/>
    <w:rsid w:val="00607BFF"/>
    <w:rsid w:val="006146D7"/>
    <w:rsid w:val="006377E0"/>
    <w:rsid w:val="006E5F6A"/>
    <w:rsid w:val="00705291"/>
    <w:rsid w:val="007544EE"/>
    <w:rsid w:val="007C661F"/>
    <w:rsid w:val="007F489D"/>
    <w:rsid w:val="008031C8"/>
    <w:rsid w:val="008476CA"/>
    <w:rsid w:val="00862EE9"/>
    <w:rsid w:val="00870709"/>
    <w:rsid w:val="008932DA"/>
    <w:rsid w:val="00897B21"/>
    <w:rsid w:val="008C01DC"/>
    <w:rsid w:val="008C0350"/>
    <w:rsid w:val="008C57E0"/>
    <w:rsid w:val="008D0B6C"/>
    <w:rsid w:val="0091165C"/>
    <w:rsid w:val="00922202"/>
    <w:rsid w:val="009712F5"/>
    <w:rsid w:val="00977FD9"/>
    <w:rsid w:val="009E3850"/>
    <w:rsid w:val="00A1116F"/>
    <w:rsid w:val="00A138EE"/>
    <w:rsid w:val="00A204EF"/>
    <w:rsid w:val="00A46EC3"/>
    <w:rsid w:val="00AF5149"/>
    <w:rsid w:val="00B04441"/>
    <w:rsid w:val="00B10090"/>
    <w:rsid w:val="00B45808"/>
    <w:rsid w:val="00B6128F"/>
    <w:rsid w:val="00B659B5"/>
    <w:rsid w:val="00B771FA"/>
    <w:rsid w:val="00B81F2C"/>
    <w:rsid w:val="00BC5D52"/>
    <w:rsid w:val="00BC6B11"/>
    <w:rsid w:val="00BD6769"/>
    <w:rsid w:val="00C04DBD"/>
    <w:rsid w:val="00C55D17"/>
    <w:rsid w:val="00C63866"/>
    <w:rsid w:val="00C93FA1"/>
    <w:rsid w:val="00CA7510"/>
    <w:rsid w:val="00CD019A"/>
    <w:rsid w:val="00D453BE"/>
    <w:rsid w:val="00D77140"/>
    <w:rsid w:val="00D86C80"/>
    <w:rsid w:val="00D97DC1"/>
    <w:rsid w:val="00DE0CD4"/>
    <w:rsid w:val="00DE4164"/>
    <w:rsid w:val="00DF113B"/>
    <w:rsid w:val="00E16918"/>
    <w:rsid w:val="00E478BB"/>
    <w:rsid w:val="00E50B60"/>
    <w:rsid w:val="00E55B3E"/>
    <w:rsid w:val="00E85633"/>
    <w:rsid w:val="00EE3E86"/>
    <w:rsid w:val="00F97AF2"/>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C917"/>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FBBB-D270-4351-AB9B-F9169C4C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6</cp:revision>
  <cp:lastPrinted>2015-02-19T16:36:00Z</cp:lastPrinted>
  <dcterms:created xsi:type="dcterms:W3CDTF">2015-02-19T16:11:00Z</dcterms:created>
  <dcterms:modified xsi:type="dcterms:W3CDTF">2020-05-13T12:05:00Z</dcterms:modified>
</cp:coreProperties>
</file>