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21" w:rsidRPr="00D86C80" w:rsidRDefault="00D97DC1" w:rsidP="000D5E21">
      <w:pPr>
        <w:pStyle w:val="berschrift1"/>
        <w:spacing w:after="0"/>
        <w:rPr>
          <w:rFonts w:ascii="Cambria" w:hAnsi="Cambria"/>
          <w:color w:val="548DD4" w:themeColor="text2" w:themeTint="99"/>
          <w:sz w:val="22"/>
        </w:rPr>
      </w:pPr>
      <w:bookmarkStart w:id="0" w:name="_Toc30345940"/>
      <w:r>
        <w:rPr>
          <w:rFonts w:ascii="Cambria" w:hAnsi="Cambria"/>
          <w:color w:val="548DD4" w:themeColor="text2" w:themeTint="99"/>
          <w:sz w:val="22"/>
        </w:rPr>
        <w:t>Der rhetorische Giftschrank</w:t>
      </w:r>
    </w:p>
    <w:bookmarkEnd w:id="0"/>
    <w:p w:rsidR="00D97DC1" w:rsidRPr="00D97DC1" w:rsidRDefault="00FF6402" w:rsidP="00D97DC1">
      <w:pPr>
        <w:spacing w:after="120"/>
        <w:rPr>
          <w:rFonts w:asciiTheme="majorHAnsi" w:hAnsiTheme="majorHAnsi"/>
          <w:b/>
          <w:color w:val="4F81BD" w:themeColor="accent1"/>
          <w:sz w:val="32"/>
          <w:lang w:eastAsia="de-DE"/>
        </w:rPr>
      </w:pPr>
      <w:r>
        <w:rPr>
          <w:rFonts w:asciiTheme="majorHAnsi" w:hAnsiTheme="majorHAnsi"/>
          <w:b/>
          <w:color w:val="4F81BD" w:themeColor="accent1"/>
          <w:sz w:val="32"/>
          <w:lang w:eastAsia="de-DE"/>
        </w:rPr>
        <w:t>Beeindrucken</w:t>
      </w:r>
    </w:p>
    <w:tbl>
      <w:tblPr>
        <w:tblW w:w="9250" w:type="dxa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537"/>
        <w:gridCol w:w="6203"/>
      </w:tblGrid>
      <w:tr w:rsidR="00FF6402" w:rsidRPr="00FF6402" w:rsidTr="00FF6402">
        <w:tblPrEx>
          <w:tblCellMar>
            <w:top w:w="0" w:type="dxa"/>
            <w:bottom w:w="0" w:type="dxa"/>
          </w:tblCellMar>
        </w:tblPrEx>
        <w:tc>
          <w:tcPr>
            <w:tcW w:w="3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6402" w:rsidRPr="00FF6402" w:rsidRDefault="00FF6402" w:rsidP="00DF5C85">
            <w:pPr>
              <w:spacing w:before="120"/>
              <w:ind w:left="57" w:right="57"/>
              <w:rPr>
                <w:rFonts w:asciiTheme="majorHAnsi" w:hAnsiTheme="majorHAnsi"/>
                <w:b/>
              </w:rPr>
            </w:pPr>
            <w:r w:rsidRPr="00FF6402">
              <w:rPr>
                <w:rFonts w:asciiTheme="majorHAnsi" w:hAnsiTheme="majorHAnsi"/>
                <w:b/>
              </w:rPr>
              <w:t>Verhalten</w:t>
            </w:r>
          </w:p>
        </w:tc>
        <w:tc>
          <w:tcPr>
            <w:tcW w:w="62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6402" w:rsidRPr="00FF6402" w:rsidRDefault="00FF6402" w:rsidP="00DF5C85">
            <w:pPr>
              <w:spacing w:before="120"/>
              <w:ind w:left="57" w:right="57"/>
              <w:rPr>
                <w:rFonts w:asciiTheme="majorHAnsi" w:hAnsiTheme="majorHAnsi"/>
                <w:b/>
              </w:rPr>
            </w:pPr>
            <w:r w:rsidRPr="00FF6402">
              <w:rPr>
                <w:rFonts w:asciiTheme="majorHAnsi" w:hAnsiTheme="majorHAnsi"/>
                <w:b/>
              </w:rPr>
              <w:t>Beispiele</w:t>
            </w:r>
          </w:p>
        </w:tc>
      </w:tr>
      <w:tr w:rsidR="00FF6402" w:rsidRPr="00FF6402" w:rsidTr="00FF6402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02" w:rsidRPr="00FF6402" w:rsidRDefault="00FF6402" w:rsidP="00E50B60">
            <w:pPr>
              <w:spacing w:before="120" w:after="60"/>
              <w:ind w:right="57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Imponier</w:t>
            </w:r>
            <w:r w:rsidRPr="00FF6402">
              <w:rPr>
                <w:rFonts w:asciiTheme="majorHAnsi" w:hAnsiTheme="majorHAnsi"/>
                <w:b/>
                <w:sz w:val="20"/>
              </w:rPr>
              <w:t>gehabe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02" w:rsidRPr="00FF6402" w:rsidRDefault="00FF6402" w:rsidP="00E50B60">
            <w:pPr>
              <w:spacing w:before="120" w:after="120"/>
              <w:ind w:right="57"/>
              <w:rPr>
                <w:rFonts w:asciiTheme="majorHAnsi" w:hAnsiTheme="majorHAnsi"/>
                <w:sz w:val="20"/>
              </w:rPr>
            </w:pPr>
            <w:r w:rsidRPr="00FF6402">
              <w:rPr>
                <w:rFonts w:asciiTheme="majorHAnsi" w:hAnsiTheme="majorHAnsi"/>
                <w:sz w:val="20"/>
              </w:rPr>
              <w:t>Äußerungen, mit denen ein Sprecher nur sich selbst als Person vor anderen au</w:t>
            </w:r>
            <w:r w:rsidRPr="00FF6402">
              <w:rPr>
                <w:rFonts w:asciiTheme="majorHAnsi" w:hAnsiTheme="majorHAnsi"/>
                <w:sz w:val="20"/>
              </w:rPr>
              <w:t>f</w:t>
            </w:r>
            <w:r w:rsidRPr="00FF6402">
              <w:rPr>
                <w:rFonts w:asciiTheme="majorHAnsi" w:hAnsiTheme="majorHAnsi"/>
                <w:sz w:val="20"/>
              </w:rPr>
              <w:t>werten will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02" w:rsidRPr="00FF6402" w:rsidRDefault="00FF6402" w:rsidP="00E50B60">
            <w:pPr>
              <w:numPr>
                <w:ilvl w:val="0"/>
                <w:numId w:val="38"/>
              </w:numPr>
              <w:spacing w:before="120" w:after="60" w:line="240" w:lineRule="auto"/>
              <w:ind w:left="284" w:right="57" w:hanging="284"/>
              <w:rPr>
                <w:rFonts w:asciiTheme="majorHAnsi" w:hAnsiTheme="majorHAnsi"/>
                <w:sz w:val="20"/>
              </w:rPr>
            </w:pPr>
            <w:r w:rsidRPr="00FF6402">
              <w:rPr>
                <w:rFonts w:asciiTheme="majorHAnsi" w:hAnsiTheme="majorHAnsi"/>
                <w:sz w:val="20"/>
              </w:rPr>
              <w:t>„Sicher, »Der mit dem Wolf tanzt« ist auch ganz gut, aber verglichen mit »Basic Instinct« ist das doch gar nichts. »Man dances with wolves« kann da wirklich nicht mithalten. Und M</w:t>
            </w:r>
            <w:r w:rsidRPr="00FF6402">
              <w:rPr>
                <w:rFonts w:asciiTheme="majorHAnsi" w:hAnsiTheme="majorHAnsi"/>
                <w:sz w:val="20"/>
              </w:rPr>
              <w:t>i</w:t>
            </w:r>
            <w:r w:rsidRPr="00FF6402">
              <w:rPr>
                <w:rFonts w:asciiTheme="majorHAnsi" w:hAnsiTheme="majorHAnsi"/>
                <w:sz w:val="20"/>
              </w:rPr>
              <w:t>chael Douglas, der ja schon 1988 den Oscar für »Rosenkrieg«, was sag’ ich, für »Wall Street«, der Stone-Film natürlich, b</w:t>
            </w:r>
            <w:r w:rsidRPr="00FF6402">
              <w:rPr>
                <w:rFonts w:asciiTheme="majorHAnsi" w:hAnsiTheme="majorHAnsi"/>
                <w:sz w:val="20"/>
              </w:rPr>
              <w:t>e</w:t>
            </w:r>
            <w:r w:rsidRPr="00FF6402">
              <w:rPr>
                <w:rFonts w:asciiTheme="majorHAnsi" w:hAnsiTheme="majorHAnsi"/>
                <w:sz w:val="20"/>
              </w:rPr>
              <w:t>kommen hat, und Kevin Costner ...“</w:t>
            </w:r>
          </w:p>
        </w:tc>
      </w:tr>
      <w:tr w:rsidR="00FF6402" w:rsidRPr="00FF6402" w:rsidTr="00FF6402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02" w:rsidRPr="00FF6402" w:rsidRDefault="00FF6402" w:rsidP="00E50B60">
            <w:pPr>
              <w:spacing w:before="120" w:after="60"/>
              <w:ind w:right="57"/>
              <w:rPr>
                <w:rFonts w:asciiTheme="majorHAnsi" w:hAnsiTheme="majorHAnsi"/>
                <w:b/>
                <w:sz w:val="20"/>
              </w:rPr>
            </w:pPr>
            <w:r w:rsidRPr="00FF6402">
              <w:rPr>
                <w:rFonts w:asciiTheme="majorHAnsi" w:hAnsiTheme="majorHAnsi"/>
                <w:b/>
                <w:sz w:val="20"/>
              </w:rPr>
              <w:t>Meinungen als Fakten ausg</w:t>
            </w:r>
            <w:r w:rsidRPr="00FF6402">
              <w:rPr>
                <w:rFonts w:asciiTheme="majorHAnsi" w:hAnsiTheme="majorHAnsi"/>
                <w:b/>
                <w:sz w:val="20"/>
              </w:rPr>
              <w:t>e</w:t>
            </w:r>
            <w:r w:rsidRPr="00FF6402">
              <w:rPr>
                <w:rFonts w:asciiTheme="majorHAnsi" w:hAnsiTheme="majorHAnsi"/>
                <w:b/>
                <w:sz w:val="20"/>
              </w:rPr>
              <w:t>ben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02" w:rsidRPr="00FF6402" w:rsidRDefault="00FF6402" w:rsidP="00E50B60">
            <w:pPr>
              <w:spacing w:before="120" w:after="120"/>
              <w:ind w:right="57"/>
              <w:rPr>
                <w:rFonts w:asciiTheme="majorHAnsi" w:hAnsiTheme="majorHAnsi"/>
                <w:sz w:val="20"/>
              </w:rPr>
            </w:pPr>
            <w:r w:rsidRPr="00FF6402">
              <w:rPr>
                <w:rFonts w:asciiTheme="majorHAnsi" w:hAnsiTheme="majorHAnsi"/>
                <w:sz w:val="20"/>
              </w:rPr>
              <w:t>Vermutungen werden wie erwiesene Ta</w:t>
            </w:r>
            <w:r w:rsidRPr="00FF6402">
              <w:rPr>
                <w:rFonts w:asciiTheme="majorHAnsi" w:hAnsiTheme="majorHAnsi"/>
                <w:sz w:val="20"/>
              </w:rPr>
              <w:t>t</w:t>
            </w:r>
            <w:r w:rsidRPr="00FF6402">
              <w:rPr>
                <w:rFonts w:asciiTheme="majorHAnsi" w:hAnsiTheme="majorHAnsi"/>
                <w:sz w:val="20"/>
              </w:rPr>
              <w:t>sachen präse</w:t>
            </w:r>
            <w:r w:rsidRPr="00FF6402">
              <w:rPr>
                <w:rFonts w:asciiTheme="majorHAnsi" w:hAnsiTheme="majorHAnsi"/>
                <w:sz w:val="20"/>
              </w:rPr>
              <w:t>n</w:t>
            </w:r>
            <w:r w:rsidR="00E50B60">
              <w:rPr>
                <w:rFonts w:asciiTheme="majorHAnsi" w:hAnsiTheme="majorHAnsi"/>
                <w:sz w:val="20"/>
              </w:rPr>
              <w:t>tiert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02" w:rsidRPr="00FF6402" w:rsidRDefault="00FF6402" w:rsidP="00E50B60">
            <w:pPr>
              <w:numPr>
                <w:ilvl w:val="0"/>
                <w:numId w:val="38"/>
              </w:numPr>
              <w:spacing w:before="120" w:after="60" w:line="240" w:lineRule="auto"/>
              <w:ind w:left="284" w:right="57" w:hanging="284"/>
              <w:rPr>
                <w:rFonts w:asciiTheme="majorHAnsi" w:hAnsiTheme="majorHAnsi"/>
                <w:sz w:val="20"/>
              </w:rPr>
            </w:pPr>
            <w:r w:rsidRPr="00FF6402">
              <w:rPr>
                <w:rFonts w:asciiTheme="majorHAnsi" w:hAnsiTheme="majorHAnsi"/>
                <w:sz w:val="20"/>
              </w:rPr>
              <w:t>Das weiß, doch jeder...</w:t>
            </w:r>
          </w:p>
          <w:p w:rsidR="00FF6402" w:rsidRPr="00FF6402" w:rsidRDefault="00FF6402" w:rsidP="00FF6402">
            <w:pPr>
              <w:numPr>
                <w:ilvl w:val="0"/>
                <w:numId w:val="38"/>
              </w:numPr>
              <w:spacing w:before="60" w:after="60" w:line="240" w:lineRule="auto"/>
              <w:ind w:right="57"/>
              <w:rPr>
                <w:rFonts w:asciiTheme="majorHAnsi" w:hAnsiTheme="majorHAnsi"/>
                <w:sz w:val="20"/>
              </w:rPr>
            </w:pPr>
            <w:r w:rsidRPr="00FF6402">
              <w:rPr>
                <w:rFonts w:asciiTheme="majorHAnsi" w:hAnsiTheme="majorHAnsi"/>
                <w:sz w:val="20"/>
              </w:rPr>
              <w:t>Ganz unbestritten ist doch...</w:t>
            </w:r>
          </w:p>
          <w:p w:rsidR="00FF6402" w:rsidRPr="00FF6402" w:rsidRDefault="00FF6402" w:rsidP="00FF6402">
            <w:pPr>
              <w:numPr>
                <w:ilvl w:val="0"/>
                <w:numId w:val="38"/>
              </w:numPr>
              <w:spacing w:before="60" w:after="60" w:line="240" w:lineRule="auto"/>
              <w:ind w:right="57"/>
              <w:rPr>
                <w:rFonts w:asciiTheme="majorHAnsi" w:hAnsiTheme="majorHAnsi"/>
                <w:sz w:val="20"/>
              </w:rPr>
            </w:pPr>
            <w:r w:rsidRPr="00FF6402">
              <w:rPr>
                <w:rFonts w:asciiTheme="majorHAnsi" w:hAnsiTheme="majorHAnsi"/>
                <w:sz w:val="20"/>
              </w:rPr>
              <w:t>Also, eines steht fest...</w:t>
            </w:r>
          </w:p>
          <w:p w:rsidR="00FF6402" w:rsidRPr="00FF6402" w:rsidRDefault="00FF6402" w:rsidP="00FF6402">
            <w:pPr>
              <w:numPr>
                <w:ilvl w:val="0"/>
                <w:numId w:val="38"/>
              </w:numPr>
              <w:spacing w:before="60" w:after="60" w:line="240" w:lineRule="auto"/>
              <w:ind w:right="57"/>
              <w:rPr>
                <w:rFonts w:asciiTheme="majorHAnsi" w:hAnsiTheme="majorHAnsi"/>
                <w:sz w:val="20"/>
              </w:rPr>
            </w:pPr>
            <w:r w:rsidRPr="00FF6402">
              <w:rPr>
                <w:rFonts w:asciiTheme="majorHAnsi" w:hAnsiTheme="majorHAnsi"/>
                <w:sz w:val="20"/>
              </w:rPr>
              <w:t xml:space="preserve">Einer muss ja mal sagen, was Sache ist... </w:t>
            </w:r>
          </w:p>
        </w:tc>
      </w:tr>
      <w:tr w:rsidR="00FF6402" w:rsidRPr="00FF6402" w:rsidTr="00FF6402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02" w:rsidRPr="00FF6402" w:rsidRDefault="00FF6402" w:rsidP="00E50B60">
            <w:pPr>
              <w:spacing w:before="120" w:after="60"/>
              <w:ind w:right="57"/>
              <w:rPr>
                <w:rFonts w:asciiTheme="majorHAnsi" w:hAnsiTheme="majorHAnsi"/>
                <w:b/>
                <w:sz w:val="20"/>
              </w:rPr>
            </w:pPr>
            <w:r w:rsidRPr="00FF6402">
              <w:rPr>
                <w:rFonts w:asciiTheme="majorHAnsi" w:hAnsiTheme="majorHAnsi"/>
                <w:b/>
                <w:sz w:val="20"/>
              </w:rPr>
              <w:t>Zitieren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02" w:rsidRPr="00FF6402" w:rsidRDefault="00FF6402" w:rsidP="00E50B60">
            <w:pPr>
              <w:spacing w:before="120" w:after="120"/>
              <w:ind w:right="57"/>
              <w:rPr>
                <w:rFonts w:asciiTheme="majorHAnsi" w:hAnsiTheme="majorHAnsi"/>
                <w:sz w:val="20"/>
              </w:rPr>
            </w:pPr>
            <w:r w:rsidRPr="00FF6402">
              <w:rPr>
                <w:rFonts w:asciiTheme="majorHAnsi" w:hAnsiTheme="majorHAnsi"/>
                <w:sz w:val="20"/>
              </w:rPr>
              <w:t>„Zitate“ we</w:t>
            </w:r>
            <w:r w:rsidRPr="00FF6402">
              <w:rPr>
                <w:rFonts w:asciiTheme="majorHAnsi" w:hAnsiTheme="majorHAnsi"/>
                <w:sz w:val="20"/>
              </w:rPr>
              <w:t>r</w:t>
            </w:r>
            <w:r w:rsidRPr="00FF6402">
              <w:rPr>
                <w:rFonts w:asciiTheme="majorHAnsi" w:hAnsiTheme="majorHAnsi"/>
                <w:sz w:val="20"/>
              </w:rPr>
              <w:t>den nur zur „Blendung“, d.h. ohne neuen Info</w:t>
            </w:r>
            <w:r w:rsidRPr="00FF6402">
              <w:rPr>
                <w:rFonts w:asciiTheme="majorHAnsi" w:hAnsiTheme="majorHAnsi"/>
                <w:sz w:val="20"/>
              </w:rPr>
              <w:t>r</w:t>
            </w:r>
            <w:r w:rsidRPr="00FF6402">
              <w:rPr>
                <w:rFonts w:asciiTheme="majorHAnsi" w:hAnsiTheme="majorHAnsi"/>
                <w:sz w:val="20"/>
              </w:rPr>
              <w:t>mat</w:t>
            </w:r>
            <w:r w:rsidRPr="00FF6402">
              <w:rPr>
                <w:rFonts w:asciiTheme="majorHAnsi" w:hAnsiTheme="majorHAnsi"/>
                <w:sz w:val="20"/>
              </w:rPr>
              <w:t>i</w:t>
            </w:r>
            <w:r w:rsidRPr="00FF6402">
              <w:rPr>
                <w:rFonts w:asciiTheme="majorHAnsi" w:hAnsiTheme="majorHAnsi"/>
                <w:sz w:val="20"/>
              </w:rPr>
              <w:t>ons</w:t>
            </w:r>
            <w:r w:rsidRPr="00FF6402">
              <w:rPr>
                <w:rFonts w:asciiTheme="majorHAnsi" w:hAnsiTheme="majorHAnsi"/>
                <w:sz w:val="20"/>
              </w:rPr>
              <w:softHyphen/>
              <w:t>gehalt b</w:t>
            </w:r>
            <w:r w:rsidRPr="00FF6402">
              <w:rPr>
                <w:rFonts w:asciiTheme="majorHAnsi" w:hAnsiTheme="majorHAnsi"/>
                <w:sz w:val="20"/>
              </w:rPr>
              <w:t>e</w:t>
            </w:r>
            <w:r w:rsidR="00E50B60">
              <w:rPr>
                <w:rFonts w:asciiTheme="majorHAnsi" w:hAnsiTheme="majorHAnsi"/>
                <w:sz w:val="20"/>
              </w:rPr>
              <w:t>nutzt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02" w:rsidRPr="00FF6402" w:rsidRDefault="00FF6402" w:rsidP="00E50B60">
            <w:pPr>
              <w:numPr>
                <w:ilvl w:val="0"/>
                <w:numId w:val="38"/>
              </w:numPr>
              <w:spacing w:before="120" w:after="60" w:line="240" w:lineRule="auto"/>
              <w:ind w:left="284" w:right="57" w:hanging="284"/>
              <w:rPr>
                <w:rFonts w:asciiTheme="majorHAnsi" w:hAnsiTheme="majorHAnsi"/>
                <w:sz w:val="20"/>
              </w:rPr>
            </w:pPr>
            <w:r w:rsidRPr="00FF6402">
              <w:rPr>
                <w:rFonts w:asciiTheme="majorHAnsi" w:hAnsiTheme="majorHAnsi"/>
                <w:sz w:val="20"/>
              </w:rPr>
              <w:t>Was die Mannschaftsaufstellung a</w:t>
            </w:r>
            <w:r w:rsidRPr="00FF6402">
              <w:rPr>
                <w:rFonts w:asciiTheme="majorHAnsi" w:hAnsiTheme="majorHAnsi"/>
                <w:sz w:val="20"/>
              </w:rPr>
              <w:t>n</w:t>
            </w:r>
            <w:r w:rsidRPr="00FF6402">
              <w:rPr>
                <w:rFonts w:asciiTheme="majorHAnsi" w:hAnsiTheme="majorHAnsi"/>
                <w:sz w:val="20"/>
              </w:rPr>
              <w:t>geht, vertrete ich hier ganz nebenbei gesagt, genau die gleiche Meinung wie der Bunde</w:t>
            </w:r>
            <w:r w:rsidRPr="00FF6402">
              <w:rPr>
                <w:rFonts w:asciiTheme="majorHAnsi" w:hAnsiTheme="majorHAnsi"/>
                <w:sz w:val="20"/>
              </w:rPr>
              <w:t>s</w:t>
            </w:r>
            <w:r w:rsidRPr="00FF6402">
              <w:rPr>
                <w:rFonts w:asciiTheme="majorHAnsi" w:hAnsiTheme="majorHAnsi"/>
                <w:sz w:val="20"/>
              </w:rPr>
              <w:t>trainer.</w:t>
            </w:r>
          </w:p>
          <w:p w:rsidR="00FF6402" w:rsidRPr="00FF6402" w:rsidRDefault="00FF6402" w:rsidP="00FF6402">
            <w:pPr>
              <w:numPr>
                <w:ilvl w:val="0"/>
                <w:numId w:val="38"/>
              </w:numPr>
              <w:spacing w:before="60" w:after="60" w:line="240" w:lineRule="auto"/>
              <w:ind w:right="57"/>
              <w:rPr>
                <w:rFonts w:asciiTheme="majorHAnsi" w:hAnsiTheme="majorHAnsi"/>
                <w:sz w:val="20"/>
              </w:rPr>
            </w:pPr>
            <w:r w:rsidRPr="00FF6402">
              <w:rPr>
                <w:rFonts w:asciiTheme="majorHAnsi" w:hAnsiTheme="majorHAnsi"/>
                <w:sz w:val="20"/>
              </w:rPr>
              <w:t>Übrigens, hat auch schon X (Goethe, der Papst, der Bunde</w:t>
            </w:r>
            <w:r w:rsidRPr="00FF6402">
              <w:rPr>
                <w:rFonts w:asciiTheme="majorHAnsi" w:hAnsiTheme="majorHAnsi"/>
                <w:sz w:val="20"/>
              </w:rPr>
              <w:t>s</w:t>
            </w:r>
            <w:r w:rsidRPr="00FF6402">
              <w:rPr>
                <w:rFonts w:asciiTheme="majorHAnsi" w:hAnsiTheme="majorHAnsi"/>
                <w:sz w:val="20"/>
              </w:rPr>
              <w:t>kanzler, die anerkannte Expertin auf diesem G</w:t>
            </w:r>
            <w:r w:rsidRPr="00FF6402">
              <w:rPr>
                <w:rFonts w:asciiTheme="majorHAnsi" w:hAnsiTheme="majorHAnsi"/>
                <w:sz w:val="20"/>
              </w:rPr>
              <w:t>e</w:t>
            </w:r>
            <w:r w:rsidRPr="00FF6402">
              <w:rPr>
                <w:rFonts w:asciiTheme="majorHAnsi" w:hAnsiTheme="majorHAnsi"/>
                <w:sz w:val="20"/>
              </w:rPr>
              <w:t>biet...) gesagt, dass ...</w:t>
            </w:r>
          </w:p>
        </w:tc>
      </w:tr>
      <w:tr w:rsidR="00FF6402" w:rsidRPr="00FF6402" w:rsidTr="00FF6402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02" w:rsidRPr="00E50B60" w:rsidRDefault="00FF6402" w:rsidP="00E50B60">
            <w:pPr>
              <w:spacing w:before="120" w:after="60"/>
              <w:ind w:right="57"/>
              <w:rPr>
                <w:rFonts w:asciiTheme="majorHAnsi" w:hAnsiTheme="majorHAnsi"/>
                <w:b/>
              </w:rPr>
            </w:pPr>
            <w:r w:rsidRPr="00FF6402">
              <w:rPr>
                <w:rFonts w:asciiTheme="majorHAnsi" w:hAnsiTheme="majorHAnsi"/>
                <w:b/>
                <w:sz w:val="20"/>
              </w:rPr>
              <w:t>Bonmots</w:t>
            </w:r>
            <w:r w:rsidR="00E50B60">
              <w:rPr>
                <w:b/>
              </w:rPr>
              <w:t xml:space="preserve"> </w:t>
            </w:r>
            <w:r w:rsidR="00E50B60" w:rsidRPr="00E50B60">
              <w:rPr>
                <w:rFonts w:asciiTheme="majorHAnsi" w:hAnsiTheme="majorHAnsi"/>
                <w:sz w:val="20"/>
              </w:rPr>
              <w:t>(</w:t>
            </w:r>
            <w:r w:rsidR="00E50B60" w:rsidRPr="00E50B60">
              <w:rPr>
                <w:rFonts w:asciiTheme="majorHAnsi" w:hAnsiTheme="majorHAnsi"/>
                <w:sz w:val="20"/>
              </w:rPr>
              <w:t>treffender geistreich-witziger Ausspruch</w:t>
            </w:r>
            <w:r w:rsidR="00E50B60">
              <w:rPr>
                <w:rFonts w:asciiTheme="majorHAnsi" w:hAnsiTheme="majorHAnsi"/>
                <w:sz w:val="20"/>
              </w:rPr>
              <w:t>)</w:t>
            </w:r>
            <w:r w:rsidR="00E50B60">
              <w:rPr>
                <w:rFonts w:asciiTheme="majorHAnsi" w:hAnsiTheme="majorHAnsi"/>
                <w:b/>
              </w:rPr>
              <w:br/>
            </w:r>
            <w:r w:rsidRPr="00E50B60">
              <w:rPr>
                <w:rFonts w:asciiTheme="majorHAnsi" w:hAnsiTheme="majorHAnsi"/>
                <w:b/>
              </w:rPr>
              <w:t>Analogien</w:t>
            </w:r>
            <w:r w:rsidR="00E50B60">
              <w:rPr>
                <w:rFonts w:ascii="Verdana" w:hAnsi="Verdana"/>
                <w:sz w:val="16"/>
              </w:rPr>
              <w:t xml:space="preserve"> (</w:t>
            </w:r>
            <w:r w:rsidR="00E50B60" w:rsidRPr="00E50B60">
              <w:rPr>
                <w:rFonts w:asciiTheme="majorHAnsi" w:hAnsiTheme="majorHAnsi"/>
                <w:sz w:val="20"/>
              </w:rPr>
              <w:t>Ähnlichkeit, Übereinstimmung</w:t>
            </w:r>
            <w:r w:rsidR="00E50B60">
              <w:rPr>
                <w:rFonts w:asciiTheme="majorHAnsi" w:hAnsiTheme="majorHAnsi"/>
                <w:sz w:val="20"/>
              </w:rPr>
              <w:t>)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02" w:rsidRPr="00FF6402" w:rsidRDefault="00FF6402" w:rsidP="00E50B60">
            <w:pPr>
              <w:spacing w:before="120" w:after="120"/>
              <w:ind w:right="57"/>
              <w:rPr>
                <w:rFonts w:asciiTheme="majorHAnsi" w:hAnsiTheme="majorHAnsi"/>
                <w:sz w:val="20"/>
              </w:rPr>
            </w:pPr>
            <w:r w:rsidRPr="00FF6402">
              <w:rPr>
                <w:rFonts w:asciiTheme="majorHAnsi" w:hAnsiTheme="majorHAnsi"/>
                <w:sz w:val="20"/>
              </w:rPr>
              <w:t>etwas durc</w:t>
            </w:r>
            <w:r w:rsidRPr="00FF6402">
              <w:rPr>
                <w:rFonts w:asciiTheme="majorHAnsi" w:hAnsiTheme="majorHAnsi"/>
                <w:sz w:val="20"/>
              </w:rPr>
              <w:t>h</w:t>
            </w:r>
            <w:r w:rsidRPr="00FF6402">
              <w:rPr>
                <w:rFonts w:asciiTheme="majorHAnsi" w:hAnsiTheme="majorHAnsi"/>
                <w:sz w:val="20"/>
              </w:rPr>
              <w:t>aus Strittiges wird als u</w:t>
            </w:r>
            <w:r w:rsidRPr="00FF6402">
              <w:rPr>
                <w:rFonts w:asciiTheme="majorHAnsi" w:hAnsiTheme="majorHAnsi"/>
                <w:sz w:val="20"/>
              </w:rPr>
              <w:t>n</w:t>
            </w:r>
            <w:r w:rsidRPr="00FF6402">
              <w:rPr>
                <w:rFonts w:asciiTheme="majorHAnsi" w:hAnsiTheme="majorHAnsi"/>
                <w:sz w:val="20"/>
              </w:rPr>
              <w:t>mittelbar ei</w:t>
            </w:r>
            <w:r w:rsidRPr="00FF6402">
              <w:rPr>
                <w:rFonts w:asciiTheme="majorHAnsi" w:hAnsiTheme="majorHAnsi"/>
                <w:sz w:val="20"/>
              </w:rPr>
              <w:t>n</w:t>
            </w:r>
            <w:r w:rsidR="00E50B60">
              <w:rPr>
                <w:rFonts w:asciiTheme="majorHAnsi" w:hAnsiTheme="majorHAnsi"/>
                <w:sz w:val="20"/>
              </w:rPr>
              <w:t>leuchtend dargestellt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02" w:rsidRPr="00FF6402" w:rsidRDefault="00FF6402" w:rsidP="00E50B60">
            <w:pPr>
              <w:numPr>
                <w:ilvl w:val="0"/>
                <w:numId w:val="38"/>
              </w:numPr>
              <w:spacing w:before="120" w:after="60" w:line="240" w:lineRule="auto"/>
              <w:ind w:left="284" w:right="57" w:hanging="284"/>
              <w:rPr>
                <w:rFonts w:asciiTheme="majorHAnsi" w:hAnsiTheme="majorHAnsi"/>
                <w:sz w:val="20"/>
              </w:rPr>
            </w:pPr>
            <w:r w:rsidRPr="00FF6402">
              <w:rPr>
                <w:rFonts w:asciiTheme="majorHAnsi" w:hAnsiTheme="majorHAnsi"/>
                <w:sz w:val="20"/>
              </w:rPr>
              <w:t>Was Hänschen nicht lernt, lernt Hans nimmermehr.</w:t>
            </w:r>
          </w:p>
          <w:p w:rsidR="00FF6402" w:rsidRPr="00FF6402" w:rsidRDefault="00FF6402" w:rsidP="00FF6402">
            <w:pPr>
              <w:numPr>
                <w:ilvl w:val="0"/>
                <w:numId w:val="38"/>
              </w:numPr>
              <w:spacing w:before="60" w:after="60" w:line="240" w:lineRule="auto"/>
              <w:ind w:right="57"/>
              <w:rPr>
                <w:rFonts w:asciiTheme="majorHAnsi" w:hAnsiTheme="majorHAnsi"/>
                <w:sz w:val="20"/>
              </w:rPr>
            </w:pPr>
            <w:r w:rsidRPr="00FF6402">
              <w:rPr>
                <w:rFonts w:asciiTheme="majorHAnsi" w:hAnsiTheme="majorHAnsi"/>
                <w:sz w:val="20"/>
              </w:rPr>
              <w:t>„Seine Methode ist streng schulg</w:t>
            </w:r>
            <w:r w:rsidRPr="00FF6402">
              <w:rPr>
                <w:rFonts w:asciiTheme="majorHAnsi" w:hAnsiTheme="majorHAnsi"/>
                <w:sz w:val="20"/>
              </w:rPr>
              <w:t>e</w:t>
            </w:r>
            <w:r w:rsidRPr="00FF6402">
              <w:rPr>
                <w:rFonts w:asciiTheme="majorHAnsi" w:hAnsiTheme="majorHAnsi"/>
                <w:sz w:val="20"/>
              </w:rPr>
              <w:t>recht. Darum sind seine Ergebnisse schüle</w:t>
            </w:r>
            <w:r w:rsidRPr="00FF6402">
              <w:rPr>
                <w:rFonts w:asciiTheme="majorHAnsi" w:hAnsiTheme="majorHAnsi"/>
                <w:sz w:val="20"/>
              </w:rPr>
              <w:t>r</w:t>
            </w:r>
            <w:r w:rsidRPr="00FF6402">
              <w:rPr>
                <w:rFonts w:asciiTheme="majorHAnsi" w:hAnsiTheme="majorHAnsi"/>
                <w:sz w:val="20"/>
              </w:rPr>
              <w:t>haft.“ (Helmut Arntzen)</w:t>
            </w:r>
          </w:p>
          <w:p w:rsidR="00FF6402" w:rsidRPr="00FF6402" w:rsidRDefault="00FF6402" w:rsidP="00FF6402">
            <w:pPr>
              <w:numPr>
                <w:ilvl w:val="0"/>
                <w:numId w:val="38"/>
              </w:numPr>
              <w:spacing w:before="60" w:after="60" w:line="240" w:lineRule="auto"/>
              <w:ind w:right="57"/>
              <w:rPr>
                <w:rFonts w:asciiTheme="majorHAnsi" w:hAnsiTheme="majorHAnsi"/>
                <w:sz w:val="20"/>
              </w:rPr>
            </w:pPr>
            <w:r w:rsidRPr="00FF6402">
              <w:rPr>
                <w:rFonts w:asciiTheme="majorHAnsi" w:hAnsiTheme="majorHAnsi"/>
                <w:sz w:val="20"/>
              </w:rPr>
              <w:t>„Nie geraten die Deutschen so außer sich, wie wenn sie zu sich kommen wollen.“ (Kurt Tuchol</w:t>
            </w:r>
            <w:r w:rsidRPr="00FF6402">
              <w:rPr>
                <w:rFonts w:asciiTheme="majorHAnsi" w:hAnsiTheme="majorHAnsi"/>
                <w:sz w:val="20"/>
              </w:rPr>
              <w:t>s</w:t>
            </w:r>
            <w:r w:rsidRPr="00FF6402">
              <w:rPr>
                <w:rFonts w:asciiTheme="majorHAnsi" w:hAnsiTheme="majorHAnsi"/>
                <w:sz w:val="20"/>
              </w:rPr>
              <w:t>ky)</w:t>
            </w:r>
          </w:p>
          <w:p w:rsidR="00FF6402" w:rsidRPr="00FF6402" w:rsidRDefault="00FF6402" w:rsidP="00DF5C85">
            <w:pPr>
              <w:spacing w:before="60" w:after="60"/>
              <w:ind w:right="57"/>
              <w:rPr>
                <w:rFonts w:asciiTheme="majorHAnsi" w:hAnsiTheme="majorHAnsi"/>
                <w:sz w:val="20"/>
              </w:rPr>
            </w:pPr>
          </w:p>
        </w:tc>
      </w:tr>
      <w:tr w:rsidR="00FF6402" w:rsidRPr="00FF6402" w:rsidTr="00FF6402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02" w:rsidRPr="00FF6402" w:rsidRDefault="00E50B60" w:rsidP="00E50B60">
            <w:pPr>
              <w:spacing w:before="120" w:after="60"/>
              <w:ind w:right="57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Personali</w:t>
            </w:r>
            <w:r w:rsidR="00FF6402" w:rsidRPr="00FF6402">
              <w:rPr>
                <w:rFonts w:asciiTheme="majorHAnsi" w:hAnsiTheme="majorHAnsi"/>
                <w:b/>
                <w:sz w:val="20"/>
              </w:rPr>
              <w:t>sieren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02" w:rsidRPr="00FF6402" w:rsidRDefault="00FF6402" w:rsidP="00E50B60">
            <w:pPr>
              <w:spacing w:before="120" w:after="120"/>
              <w:ind w:right="57"/>
              <w:rPr>
                <w:rFonts w:asciiTheme="majorHAnsi" w:hAnsiTheme="majorHAnsi"/>
                <w:sz w:val="20"/>
              </w:rPr>
            </w:pPr>
            <w:r w:rsidRPr="00FF6402">
              <w:rPr>
                <w:rFonts w:asciiTheme="majorHAnsi" w:hAnsiTheme="majorHAnsi"/>
                <w:sz w:val="20"/>
              </w:rPr>
              <w:t>ein Argument dadurch au</w:t>
            </w:r>
            <w:r w:rsidRPr="00FF6402">
              <w:rPr>
                <w:rFonts w:asciiTheme="majorHAnsi" w:hAnsiTheme="majorHAnsi"/>
                <w:sz w:val="20"/>
              </w:rPr>
              <w:t>f</w:t>
            </w:r>
            <w:r w:rsidRPr="00FF6402">
              <w:rPr>
                <w:rFonts w:asciiTheme="majorHAnsi" w:hAnsiTheme="majorHAnsi"/>
                <w:sz w:val="20"/>
              </w:rPr>
              <w:t>werten, dass man das G</w:t>
            </w:r>
            <w:r w:rsidRPr="00FF6402">
              <w:rPr>
                <w:rFonts w:asciiTheme="majorHAnsi" w:hAnsiTheme="majorHAnsi"/>
                <w:sz w:val="20"/>
              </w:rPr>
              <w:t>e</w:t>
            </w:r>
            <w:r w:rsidRPr="00FF6402">
              <w:rPr>
                <w:rFonts w:asciiTheme="majorHAnsi" w:hAnsiTheme="majorHAnsi"/>
                <w:sz w:val="20"/>
              </w:rPr>
              <w:t>wicht der e</w:t>
            </w:r>
            <w:r w:rsidRPr="00FF6402">
              <w:rPr>
                <w:rFonts w:asciiTheme="majorHAnsi" w:hAnsiTheme="majorHAnsi"/>
                <w:sz w:val="20"/>
              </w:rPr>
              <w:t>i</w:t>
            </w:r>
            <w:r w:rsidR="00E50B60">
              <w:rPr>
                <w:rFonts w:asciiTheme="majorHAnsi" w:hAnsiTheme="majorHAnsi"/>
                <w:sz w:val="20"/>
              </w:rPr>
              <w:t>genen Person daran hängt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02" w:rsidRPr="00FF6402" w:rsidRDefault="00FF6402" w:rsidP="00E50B60">
            <w:pPr>
              <w:numPr>
                <w:ilvl w:val="0"/>
                <w:numId w:val="38"/>
              </w:numPr>
              <w:spacing w:before="120" w:after="60" w:line="240" w:lineRule="auto"/>
              <w:ind w:left="284" w:right="57" w:hanging="284"/>
              <w:rPr>
                <w:rFonts w:asciiTheme="majorHAnsi" w:hAnsiTheme="majorHAnsi"/>
                <w:sz w:val="20"/>
              </w:rPr>
            </w:pPr>
            <w:r w:rsidRPr="00FF6402">
              <w:rPr>
                <w:rFonts w:asciiTheme="majorHAnsi" w:hAnsiTheme="majorHAnsi"/>
                <w:sz w:val="20"/>
              </w:rPr>
              <w:t>Einem toleranten Mann, wie ich es bin, können Sie doch nicht allen Ern</w:t>
            </w:r>
            <w:r w:rsidRPr="00FF6402">
              <w:rPr>
                <w:rFonts w:asciiTheme="majorHAnsi" w:hAnsiTheme="majorHAnsi"/>
                <w:sz w:val="20"/>
              </w:rPr>
              <w:t>s</w:t>
            </w:r>
            <w:r w:rsidRPr="00FF6402">
              <w:rPr>
                <w:rFonts w:asciiTheme="majorHAnsi" w:hAnsiTheme="majorHAnsi"/>
                <w:sz w:val="20"/>
              </w:rPr>
              <w:t>tes vorhalten...</w:t>
            </w:r>
          </w:p>
          <w:p w:rsidR="00FF6402" w:rsidRPr="00FF6402" w:rsidRDefault="00FF6402" w:rsidP="00FF6402">
            <w:pPr>
              <w:numPr>
                <w:ilvl w:val="0"/>
                <w:numId w:val="38"/>
              </w:numPr>
              <w:spacing w:before="60" w:after="60" w:line="240" w:lineRule="auto"/>
              <w:ind w:right="57"/>
              <w:rPr>
                <w:rFonts w:asciiTheme="majorHAnsi" w:hAnsiTheme="majorHAnsi"/>
                <w:sz w:val="20"/>
              </w:rPr>
            </w:pPr>
            <w:r w:rsidRPr="00FF6402">
              <w:rPr>
                <w:rFonts w:asciiTheme="majorHAnsi" w:hAnsiTheme="majorHAnsi"/>
                <w:sz w:val="20"/>
              </w:rPr>
              <w:t xml:space="preserve">Ich mache das ja nun wirklich schon lange genug, um das beurteilen zu können. </w:t>
            </w:r>
          </w:p>
          <w:p w:rsidR="00FF6402" w:rsidRPr="00FF6402" w:rsidRDefault="00FF6402" w:rsidP="00FF6402">
            <w:pPr>
              <w:numPr>
                <w:ilvl w:val="0"/>
                <w:numId w:val="38"/>
              </w:numPr>
              <w:spacing w:before="60" w:after="60" w:line="240" w:lineRule="auto"/>
              <w:ind w:right="57"/>
              <w:rPr>
                <w:rFonts w:asciiTheme="majorHAnsi" w:hAnsiTheme="majorHAnsi"/>
                <w:sz w:val="20"/>
              </w:rPr>
            </w:pPr>
            <w:r w:rsidRPr="00FF6402">
              <w:rPr>
                <w:rFonts w:asciiTheme="majorHAnsi" w:hAnsiTheme="majorHAnsi"/>
                <w:sz w:val="20"/>
              </w:rPr>
              <w:t>Was ich hier sage, ist das Ergebnis harter Arbeit und reiflicher Überl</w:t>
            </w:r>
            <w:r w:rsidRPr="00FF6402">
              <w:rPr>
                <w:rFonts w:asciiTheme="majorHAnsi" w:hAnsiTheme="majorHAnsi"/>
                <w:sz w:val="20"/>
              </w:rPr>
              <w:t>e</w:t>
            </w:r>
            <w:r w:rsidRPr="00FF6402">
              <w:rPr>
                <w:rFonts w:asciiTheme="majorHAnsi" w:hAnsiTheme="majorHAnsi"/>
                <w:sz w:val="20"/>
              </w:rPr>
              <w:t>gung, das können Sie mir glauben.</w:t>
            </w:r>
          </w:p>
          <w:p w:rsidR="00FF6402" w:rsidRPr="00FF6402" w:rsidRDefault="00FF6402" w:rsidP="00DF5C85">
            <w:pPr>
              <w:spacing w:before="60" w:after="60"/>
              <w:ind w:right="57"/>
              <w:rPr>
                <w:rFonts w:asciiTheme="majorHAnsi" w:hAnsiTheme="majorHAnsi"/>
                <w:sz w:val="20"/>
              </w:rPr>
            </w:pPr>
          </w:p>
        </w:tc>
      </w:tr>
    </w:tbl>
    <w:p w:rsidR="00D97DC1" w:rsidRPr="00D97DC1" w:rsidRDefault="00D97DC1" w:rsidP="00E50B60">
      <w:pPr>
        <w:spacing w:after="60"/>
        <w:jc w:val="center"/>
        <w:rPr>
          <w:rFonts w:asciiTheme="majorHAnsi" w:hAnsiTheme="majorHAnsi"/>
        </w:rPr>
      </w:pPr>
      <w:r w:rsidRPr="00D97DC1">
        <w:rPr>
          <w:sz w:val="12"/>
        </w:rPr>
        <w:br/>
      </w:r>
      <w:r w:rsidRPr="00D97DC1">
        <w:rPr>
          <w:rFonts w:asciiTheme="majorHAnsi" w:hAnsiTheme="majorHAnsi"/>
        </w:rPr>
        <w:t>(nach:  Bernd Weidenmann, Diskussionstraining, Reinbek bei Hamburg 1975, S. 90f.)</w:t>
      </w:r>
    </w:p>
    <w:p w:rsidR="00D86C80" w:rsidRPr="009E3850" w:rsidRDefault="00D86C80" w:rsidP="00E50B60">
      <w:pPr>
        <w:spacing w:after="0"/>
        <w:rPr>
          <w:b/>
        </w:rPr>
      </w:pPr>
      <w:r w:rsidRPr="009E3850">
        <w:rPr>
          <w:b/>
        </w:rPr>
        <w:t>Arbeitsanregungen:</w:t>
      </w:r>
    </w:p>
    <w:p w:rsidR="00D97DC1" w:rsidRDefault="00D97DC1" w:rsidP="00D97DC1">
      <w:pPr>
        <w:numPr>
          <w:ilvl w:val="0"/>
          <w:numId w:val="33"/>
        </w:numPr>
        <w:spacing w:after="0" w:line="240" w:lineRule="auto"/>
      </w:pPr>
      <w:r>
        <w:t>Überlegen Sie, wie man den dargestellten „unfairen“ Methoden am besten begegnen könnte.</w:t>
      </w:r>
    </w:p>
    <w:p w:rsidR="00DE0CD4" w:rsidRDefault="00591814" w:rsidP="00E50B60">
      <w:pPr>
        <w:numPr>
          <w:ilvl w:val="0"/>
          <w:numId w:val="33"/>
        </w:numPr>
        <w:spacing w:after="0" w:line="240" w:lineRule="auto"/>
      </w:pPr>
      <w:r>
        <w:t>Stellen Sie die Situationen</w:t>
      </w:r>
      <w:r w:rsidR="00D97DC1">
        <w:t xml:space="preserve"> in einem kurzen Rollenspiel dar.</w:t>
      </w:r>
      <w:bookmarkStart w:id="1" w:name="_GoBack"/>
      <w:bookmarkEnd w:id="1"/>
    </w:p>
    <w:sectPr w:rsidR="00DE0CD4" w:rsidSect="00A204EF">
      <w:headerReference w:type="default" r:id="rId8"/>
      <w:footerReference w:type="default" r:id="rId9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4EF" w:rsidRDefault="00A204EF" w:rsidP="00A204EF">
      <w:pPr>
        <w:spacing w:after="0" w:line="240" w:lineRule="auto"/>
      </w:pPr>
      <w:r>
        <w:separator/>
      </w:r>
    </w:p>
  </w:endnote>
  <w:endnote w:type="continuationSeparator" w:id="0">
    <w:p w:rsidR="00A204EF" w:rsidRDefault="00A204EF" w:rsidP="00A2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EF" w:rsidRPr="00897B21" w:rsidRDefault="00897B21" w:rsidP="00897B21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63664B"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0454D6E7" wp14:editId="45C51AD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3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64B">
      <w:rPr>
        <w:rFonts w:ascii="Cambria" w:hAnsi="Cambria"/>
        <w:sz w:val="16"/>
        <w:szCs w:val="16"/>
      </w:rPr>
      <w:t xml:space="preserve">Autor: Gert  Egle/www.teachsam.de – </w:t>
    </w:r>
    <w:r w:rsidRPr="0063664B">
      <w:rPr>
        <w:rFonts w:ascii="Cambria" w:hAnsi="Cambria" w:cs="Arial"/>
        <w:sz w:val="16"/>
        <w:szCs w:val="16"/>
      </w:rPr>
      <w:t>Dieses Werk ist lizenziert unter einer</w:t>
    </w:r>
    <w:r w:rsidRPr="0063664B">
      <w:rPr>
        <w:rFonts w:ascii="Cambria" w:hAnsi="Cambria" w:cs="Arial"/>
        <w:sz w:val="16"/>
        <w:szCs w:val="16"/>
      </w:rPr>
      <w:br/>
    </w:r>
    <w:hyperlink r:id="rId2" w:history="1">
      <w:r w:rsidRPr="00E73CF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E73CFE">
      <w:rPr>
        <w:rFonts w:ascii="Cambria" w:hAnsi="Cambria" w:cs="Arial"/>
        <w:sz w:val="16"/>
        <w:szCs w:val="16"/>
      </w:rPr>
      <w:t>.</w:t>
    </w:r>
    <w:r w:rsidRPr="00E73CFE">
      <w:rPr>
        <w:rFonts w:ascii="Cambria" w:hAnsi="Cambria" w:cs="Helvetica Neue"/>
        <w:sz w:val="16"/>
        <w:szCs w:val="16"/>
      </w:rPr>
      <w:t>, CC-BY-</w:t>
    </w:r>
    <w:r w:rsidRPr="0063664B">
      <w:rPr>
        <w:rFonts w:ascii="Cambria" w:hAnsi="Cambria" w:cs="Helvetica Neue"/>
        <w:sz w:val="16"/>
        <w:szCs w:val="16"/>
      </w:rPr>
      <w:t xml:space="preserve"> SA  -  </w:t>
    </w:r>
    <w:r w:rsidRPr="0063664B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4EF" w:rsidRDefault="00A204EF" w:rsidP="00A204EF">
      <w:pPr>
        <w:spacing w:after="0" w:line="240" w:lineRule="auto"/>
      </w:pPr>
      <w:r>
        <w:separator/>
      </w:r>
    </w:p>
  </w:footnote>
  <w:footnote w:type="continuationSeparator" w:id="0">
    <w:p w:rsidR="00A204EF" w:rsidRDefault="00A204EF" w:rsidP="00A2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21" w:rsidRPr="009E3F49" w:rsidRDefault="00897B21" w:rsidP="00897B21">
    <w:pPr>
      <w:pStyle w:val="Kopfzeile"/>
      <w:tabs>
        <w:tab w:val="clear" w:pos="4513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  <w:lang w:eastAsia="de-DE"/>
      </w:rPr>
      <w:drawing>
        <wp:anchor distT="0" distB="0" distL="114300" distR="114300" simplePos="0" relativeHeight="251656704" behindDoc="0" locked="0" layoutInCell="1" allowOverlap="1" wp14:anchorId="7D434AFA" wp14:editId="19A05308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897890" cy="596265"/>
          <wp:effectExtent l="0" t="0" r="0" b="0"/>
          <wp:wrapSquare wrapText="bothSides"/>
          <wp:docPr id="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</w:rPr>
      <w:t xml:space="preserve">                                                                 </w:t>
    </w:r>
    <w:r w:rsidR="00053F39">
      <w:rPr>
        <w:rFonts w:asciiTheme="majorHAnsi" w:hAnsiTheme="majorHAnsi"/>
        <w:sz w:val="20"/>
      </w:rPr>
      <w:t xml:space="preserve">                                                          </w:t>
    </w:r>
    <w:r>
      <w:rPr>
        <w:rFonts w:asciiTheme="majorHAnsi" w:hAnsiTheme="majorHAnsi"/>
        <w:sz w:val="20"/>
      </w:rPr>
      <w:t xml:space="preserve">     </w:t>
    </w:r>
    <w:r w:rsidRPr="003B0F77">
      <w:rPr>
        <w:rFonts w:asciiTheme="majorHAnsi" w:hAnsiTheme="majorHAnsi"/>
        <w:sz w:val="20"/>
      </w:rPr>
      <w:t>teachSam-OER 201</w:t>
    </w:r>
    <w:r w:rsidR="00053F39">
      <w:rPr>
        <w:rFonts w:asciiTheme="majorHAnsi" w:hAnsiTheme="majorHAnsi"/>
        <w:sz w:val="20"/>
      </w:rPr>
      <w:t>5</w:t>
    </w:r>
  </w:p>
  <w:p w:rsidR="00A204EF" w:rsidRDefault="00A204E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234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707A9A"/>
    <w:multiLevelType w:val="multilevel"/>
    <w:tmpl w:val="1770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D672BB"/>
    <w:multiLevelType w:val="hybridMultilevel"/>
    <w:tmpl w:val="9544B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044C2"/>
    <w:multiLevelType w:val="hybridMultilevel"/>
    <w:tmpl w:val="0A8ABA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C3445"/>
    <w:multiLevelType w:val="hybridMultilevel"/>
    <w:tmpl w:val="0BD09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F45B8"/>
    <w:multiLevelType w:val="hybridMultilevel"/>
    <w:tmpl w:val="B1A8FC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A38A9"/>
    <w:multiLevelType w:val="hybridMultilevel"/>
    <w:tmpl w:val="CC183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437DA"/>
    <w:multiLevelType w:val="hybridMultilevel"/>
    <w:tmpl w:val="DA4C3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A5C0B"/>
    <w:multiLevelType w:val="hybridMultilevel"/>
    <w:tmpl w:val="9E22FAF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0D2E0B"/>
    <w:multiLevelType w:val="hybridMultilevel"/>
    <w:tmpl w:val="3838098A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-5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</w:abstractNum>
  <w:abstractNum w:abstractNumId="12">
    <w:nsid w:val="256A7C1E"/>
    <w:multiLevelType w:val="hybridMultilevel"/>
    <w:tmpl w:val="C292F2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F90D4D"/>
    <w:multiLevelType w:val="hybridMultilevel"/>
    <w:tmpl w:val="0B4E1BB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7D4F24"/>
    <w:multiLevelType w:val="hybridMultilevel"/>
    <w:tmpl w:val="B4442E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E40467"/>
    <w:multiLevelType w:val="hybridMultilevel"/>
    <w:tmpl w:val="3FA62F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0B73A7"/>
    <w:multiLevelType w:val="multilevel"/>
    <w:tmpl w:val="1770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7968D7"/>
    <w:multiLevelType w:val="hybridMultilevel"/>
    <w:tmpl w:val="829E7CF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FC2172"/>
    <w:multiLevelType w:val="hybridMultilevel"/>
    <w:tmpl w:val="ABB25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537AC"/>
    <w:multiLevelType w:val="hybridMultilevel"/>
    <w:tmpl w:val="F650E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E33AB"/>
    <w:multiLevelType w:val="hybridMultilevel"/>
    <w:tmpl w:val="C874B7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1F79C2"/>
    <w:multiLevelType w:val="hybridMultilevel"/>
    <w:tmpl w:val="D098F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40E50"/>
    <w:multiLevelType w:val="multilevel"/>
    <w:tmpl w:val="1770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67067A"/>
    <w:multiLevelType w:val="hybridMultilevel"/>
    <w:tmpl w:val="685E5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91837"/>
    <w:multiLevelType w:val="hybridMultilevel"/>
    <w:tmpl w:val="34D8CE5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394D94"/>
    <w:multiLevelType w:val="hybridMultilevel"/>
    <w:tmpl w:val="E50C82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01FBD"/>
    <w:multiLevelType w:val="hybridMultilevel"/>
    <w:tmpl w:val="A9E66F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DC18CE"/>
    <w:multiLevelType w:val="hybridMultilevel"/>
    <w:tmpl w:val="75C8EA3E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>
      <w:start w:val="1"/>
      <w:numFmt w:val="bullet"/>
      <w:lvlText w:val="o"/>
      <w:lvlJc w:val="left"/>
      <w:pPr>
        <w:ind w:left="-54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7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</w:abstractNum>
  <w:abstractNum w:abstractNumId="28">
    <w:nsid w:val="53C2730B"/>
    <w:multiLevelType w:val="hybridMultilevel"/>
    <w:tmpl w:val="7D163C7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7E1799"/>
    <w:multiLevelType w:val="multilevel"/>
    <w:tmpl w:val="1770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2A2DC5"/>
    <w:multiLevelType w:val="hybridMultilevel"/>
    <w:tmpl w:val="1EF64D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F550A"/>
    <w:multiLevelType w:val="hybridMultilevel"/>
    <w:tmpl w:val="3F3075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1E259A"/>
    <w:multiLevelType w:val="hybridMultilevel"/>
    <w:tmpl w:val="98EAF8DA"/>
    <w:lvl w:ilvl="0" w:tplc="0407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3">
    <w:nsid w:val="59462CEA"/>
    <w:multiLevelType w:val="multilevel"/>
    <w:tmpl w:val="9B72D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A36F06"/>
    <w:multiLevelType w:val="hybridMultilevel"/>
    <w:tmpl w:val="13E6A32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D57DD2"/>
    <w:multiLevelType w:val="hybridMultilevel"/>
    <w:tmpl w:val="B882C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D83CAA"/>
    <w:multiLevelType w:val="hybridMultilevel"/>
    <w:tmpl w:val="099E72B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674958"/>
    <w:multiLevelType w:val="multilevel"/>
    <w:tmpl w:val="F138B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574979"/>
    <w:multiLevelType w:val="hybridMultilevel"/>
    <w:tmpl w:val="BBA88D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BA662F"/>
    <w:multiLevelType w:val="hybridMultilevel"/>
    <w:tmpl w:val="D1D697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E06AF9"/>
    <w:multiLevelType w:val="hybridMultilevel"/>
    <w:tmpl w:val="50AC2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487E81"/>
    <w:multiLevelType w:val="hybridMultilevel"/>
    <w:tmpl w:val="FC32B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B70B01"/>
    <w:multiLevelType w:val="hybridMultilevel"/>
    <w:tmpl w:val="92461CA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2A77F5"/>
    <w:multiLevelType w:val="hybridMultilevel"/>
    <w:tmpl w:val="4D6A2F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41"/>
  </w:num>
  <w:num w:numId="4">
    <w:abstractNumId w:val="21"/>
  </w:num>
  <w:num w:numId="5">
    <w:abstractNumId w:val="43"/>
  </w:num>
  <w:num w:numId="6">
    <w:abstractNumId w:val="26"/>
  </w:num>
  <w:num w:numId="7">
    <w:abstractNumId w:val="20"/>
  </w:num>
  <w:num w:numId="8">
    <w:abstractNumId w:val="1"/>
  </w:num>
  <w:num w:numId="9">
    <w:abstractNumId w:val="32"/>
  </w:num>
  <w:num w:numId="10">
    <w:abstractNumId w:val="2"/>
  </w:num>
  <w:num w:numId="11">
    <w:abstractNumId w:val="27"/>
  </w:num>
  <w:num w:numId="12">
    <w:abstractNumId w:val="11"/>
  </w:num>
  <w:num w:numId="13">
    <w:abstractNumId w:val="5"/>
  </w:num>
  <w:num w:numId="14">
    <w:abstractNumId w:val="12"/>
  </w:num>
  <w:num w:numId="15">
    <w:abstractNumId w:val="16"/>
  </w:num>
  <w:num w:numId="16">
    <w:abstractNumId w:val="38"/>
  </w:num>
  <w:num w:numId="17">
    <w:abstractNumId w:val="28"/>
  </w:num>
  <w:num w:numId="18">
    <w:abstractNumId w:val="29"/>
  </w:num>
  <w:num w:numId="19">
    <w:abstractNumId w:val="3"/>
  </w:num>
  <w:num w:numId="20">
    <w:abstractNumId w:val="35"/>
  </w:num>
  <w:num w:numId="21">
    <w:abstractNumId w:val="22"/>
  </w:num>
  <w:num w:numId="22">
    <w:abstractNumId w:val="18"/>
  </w:num>
  <w:num w:numId="23">
    <w:abstractNumId w:val="23"/>
  </w:num>
  <w:num w:numId="24">
    <w:abstractNumId w:val="15"/>
  </w:num>
  <w:num w:numId="25">
    <w:abstractNumId w:val="13"/>
  </w:num>
  <w:num w:numId="26">
    <w:abstractNumId w:val="30"/>
  </w:num>
  <w:num w:numId="27">
    <w:abstractNumId w:val="31"/>
  </w:num>
  <w:num w:numId="28">
    <w:abstractNumId w:val="4"/>
  </w:num>
  <w:num w:numId="29">
    <w:abstractNumId w:val="9"/>
  </w:num>
  <w:num w:numId="30">
    <w:abstractNumId w:val="8"/>
  </w:num>
  <w:num w:numId="31">
    <w:abstractNumId w:val="40"/>
  </w:num>
  <w:num w:numId="32">
    <w:abstractNumId w:val="39"/>
  </w:num>
  <w:num w:numId="33">
    <w:abstractNumId w:val="14"/>
  </w:num>
  <w:num w:numId="34">
    <w:abstractNumId w:val="7"/>
  </w:num>
  <w:num w:numId="35">
    <w:abstractNumId w:val="25"/>
  </w:num>
  <w:num w:numId="36">
    <w:abstractNumId w:val="37"/>
  </w:num>
  <w:num w:numId="37">
    <w:abstractNumId w:val="33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42"/>
  </w:num>
  <w:num w:numId="40">
    <w:abstractNumId w:val="34"/>
  </w:num>
  <w:num w:numId="41">
    <w:abstractNumId w:val="24"/>
  </w:num>
  <w:num w:numId="42">
    <w:abstractNumId w:val="36"/>
  </w:num>
  <w:num w:numId="43">
    <w:abstractNumId w:val="1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EF"/>
    <w:rsid w:val="000031A8"/>
    <w:rsid w:val="00032603"/>
    <w:rsid w:val="00041AC4"/>
    <w:rsid w:val="00046399"/>
    <w:rsid w:val="00053F39"/>
    <w:rsid w:val="0007306B"/>
    <w:rsid w:val="00074F4B"/>
    <w:rsid w:val="00076C4A"/>
    <w:rsid w:val="000D5E21"/>
    <w:rsid w:val="00192ECA"/>
    <w:rsid w:val="00195AB5"/>
    <w:rsid w:val="001A19EC"/>
    <w:rsid w:val="001B1684"/>
    <w:rsid w:val="001B1858"/>
    <w:rsid w:val="001C49E9"/>
    <w:rsid w:val="001C749A"/>
    <w:rsid w:val="001E6D50"/>
    <w:rsid w:val="001F2E4F"/>
    <w:rsid w:val="002244FE"/>
    <w:rsid w:val="00283D35"/>
    <w:rsid w:val="00297F75"/>
    <w:rsid w:val="002B6C9F"/>
    <w:rsid w:val="002E5557"/>
    <w:rsid w:val="00343515"/>
    <w:rsid w:val="00346FD0"/>
    <w:rsid w:val="00352A89"/>
    <w:rsid w:val="00356BE1"/>
    <w:rsid w:val="00372626"/>
    <w:rsid w:val="003777C1"/>
    <w:rsid w:val="00391F51"/>
    <w:rsid w:val="00397833"/>
    <w:rsid w:val="003C1203"/>
    <w:rsid w:val="003D2C3A"/>
    <w:rsid w:val="0045146F"/>
    <w:rsid w:val="004E5E5F"/>
    <w:rsid w:val="004F00A4"/>
    <w:rsid w:val="004F779D"/>
    <w:rsid w:val="00565867"/>
    <w:rsid w:val="00591814"/>
    <w:rsid w:val="00596943"/>
    <w:rsid w:val="005D10B7"/>
    <w:rsid w:val="005E76F8"/>
    <w:rsid w:val="00607BFF"/>
    <w:rsid w:val="006146D7"/>
    <w:rsid w:val="006377E0"/>
    <w:rsid w:val="006E5F6A"/>
    <w:rsid w:val="007544EE"/>
    <w:rsid w:val="007C661F"/>
    <w:rsid w:val="007F489D"/>
    <w:rsid w:val="008031C8"/>
    <w:rsid w:val="008476CA"/>
    <w:rsid w:val="00870709"/>
    <w:rsid w:val="008932DA"/>
    <w:rsid w:val="00897B21"/>
    <w:rsid w:val="008C01DC"/>
    <w:rsid w:val="008C57E0"/>
    <w:rsid w:val="008D0B6C"/>
    <w:rsid w:val="0091165C"/>
    <w:rsid w:val="00922202"/>
    <w:rsid w:val="009712F5"/>
    <w:rsid w:val="00977FD9"/>
    <w:rsid w:val="009E3850"/>
    <w:rsid w:val="00A204EF"/>
    <w:rsid w:val="00AF5149"/>
    <w:rsid w:val="00B04441"/>
    <w:rsid w:val="00B10090"/>
    <w:rsid w:val="00B45808"/>
    <w:rsid w:val="00B6128F"/>
    <w:rsid w:val="00B659B5"/>
    <w:rsid w:val="00B81F2C"/>
    <w:rsid w:val="00BC6B11"/>
    <w:rsid w:val="00BD6769"/>
    <w:rsid w:val="00C04DBD"/>
    <w:rsid w:val="00C55D17"/>
    <w:rsid w:val="00C63866"/>
    <w:rsid w:val="00C93FA1"/>
    <w:rsid w:val="00CA7510"/>
    <w:rsid w:val="00CD019A"/>
    <w:rsid w:val="00D453BE"/>
    <w:rsid w:val="00D86C80"/>
    <w:rsid w:val="00D97DC1"/>
    <w:rsid w:val="00DE0CD4"/>
    <w:rsid w:val="00DF113B"/>
    <w:rsid w:val="00E478BB"/>
    <w:rsid w:val="00E50B60"/>
    <w:rsid w:val="00E55B3E"/>
    <w:rsid w:val="00E85633"/>
    <w:rsid w:val="00EE3E86"/>
    <w:rsid w:val="00F97AF2"/>
    <w:rsid w:val="00FC3653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E5A108A-EC8A-4879-B066-BB64D815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D5E21"/>
    <w:pPr>
      <w:spacing w:after="240" w:line="240" w:lineRule="auto"/>
      <w:outlineLvl w:val="0"/>
    </w:pPr>
    <w:rPr>
      <w:rFonts w:ascii="Arial" w:eastAsia="Times New Roman" w:hAnsi="Arial" w:cs="Times New Roman"/>
      <w:b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A204EF"/>
  </w:style>
  <w:style w:type="paragraph" w:styleId="Kopfzeile">
    <w:name w:val="header"/>
    <w:basedOn w:val="Standard"/>
    <w:link w:val="KopfzeileZchn"/>
    <w:uiPriority w:val="99"/>
    <w:unhideWhenUsed/>
    <w:rsid w:val="00A2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4EF"/>
  </w:style>
  <w:style w:type="paragraph" w:styleId="Fuzeile">
    <w:name w:val="footer"/>
    <w:basedOn w:val="Standard"/>
    <w:link w:val="FuzeileZchn"/>
    <w:unhideWhenUsed/>
    <w:rsid w:val="00A2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04EF"/>
  </w:style>
  <w:style w:type="character" w:styleId="Hyperlink">
    <w:name w:val="Hyperlink"/>
    <w:basedOn w:val="Absatz-Standardschriftart"/>
    <w:unhideWhenUsed/>
    <w:rsid w:val="00A204E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E555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0D5E21"/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StandardWeb">
    <w:name w:val="Normal (Web)"/>
    <w:basedOn w:val="Standard"/>
    <w:uiPriority w:val="99"/>
    <w:rsid w:val="0045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qFormat/>
    <w:rsid w:val="0045146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61F"/>
    <w:rPr>
      <w:rFonts w:ascii="Segoe UI" w:hAnsi="Segoe UI" w:cs="Segoe UI"/>
      <w:sz w:val="18"/>
      <w:szCs w:val="18"/>
    </w:rPr>
  </w:style>
  <w:style w:type="paragraph" w:customStyle="1" w:styleId="Titelzeile">
    <w:name w:val="Titelzeile"/>
    <w:basedOn w:val="Standard"/>
    <w:rsid w:val="00D86C80"/>
    <w:pPr>
      <w:spacing w:before="240" w:after="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  <w:style w:type="character" w:styleId="Funotenzeichen">
    <w:name w:val="footnote reference"/>
    <w:semiHidden/>
    <w:rsid w:val="00FF6402"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FF6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F6402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13E84-2A38-4527-B5AC-19CA0AC0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Microsoft-Konto</cp:lastModifiedBy>
  <cp:revision>3</cp:revision>
  <cp:lastPrinted>2015-02-16T17:31:00Z</cp:lastPrinted>
  <dcterms:created xsi:type="dcterms:W3CDTF">2015-02-16T17:38:00Z</dcterms:created>
  <dcterms:modified xsi:type="dcterms:W3CDTF">2015-02-16T17:43:00Z</dcterms:modified>
</cp:coreProperties>
</file>