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D86C80" w:rsidRDefault="00D97DC1" w:rsidP="000D5E21">
      <w:pPr>
        <w:pStyle w:val="berschrift1"/>
        <w:spacing w:after="0"/>
        <w:rPr>
          <w:rFonts w:ascii="Cambria" w:hAnsi="Cambria"/>
          <w:color w:val="548DD4" w:themeColor="text2" w:themeTint="99"/>
          <w:sz w:val="22"/>
        </w:rPr>
      </w:pPr>
      <w:bookmarkStart w:id="0" w:name="_Toc30345940"/>
      <w:r>
        <w:rPr>
          <w:rFonts w:ascii="Cambria" w:hAnsi="Cambria"/>
          <w:color w:val="548DD4" w:themeColor="text2" w:themeTint="99"/>
          <w:sz w:val="22"/>
        </w:rPr>
        <w:t>Der rhetorische Giftschrank</w:t>
      </w:r>
    </w:p>
    <w:bookmarkEnd w:id="0"/>
    <w:p w:rsidR="00D97DC1" w:rsidRDefault="00A46EC3" w:rsidP="00D97DC1">
      <w:pPr>
        <w:spacing w:after="120"/>
        <w:rPr>
          <w:rFonts w:asciiTheme="majorHAnsi" w:hAnsiTheme="majorHAnsi"/>
          <w:b/>
          <w:color w:val="4F81BD" w:themeColor="accent1"/>
          <w:sz w:val="32"/>
          <w:lang w:eastAsia="de-DE"/>
        </w:rPr>
      </w:pPr>
      <w:r>
        <w:rPr>
          <w:rFonts w:asciiTheme="majorHAnsi" w:hAnsiTheme="majorHAnsi"/>
          <w:b/>
          <w:color w:val="4F81BD" w:themeColor="accent1"/>
          <w:sz w:val="32"/>
          <w:lang w:eastAsia="de-DE"/>
        </w:rPr>
        <w:t>Abschießen</w:t>
      </w:r>
    </w:p>
    <w:p w:rsidR="00A46EC3" w:rsidRPr="00A46EC3" w:rsidRDefault="00A46EC3" w:rsidP="00A46EC3">
      <w:pPr>
        <w:rPr>
          <w:rFonts w:asciiTheme="majorHAnsi" w:hAnsiTheme="majorHAnsi"/>
          <w:lang w:eastAsia="de-DE"/>
        </w:rPr>
      </w:pPr>
      <w:r>
        <w:rPr>
          <w:rFonts w:asciiTheme="majorHAnsi" w:hAnsiTheme="majorHAnsi"/>
          <w:lang w:eastAsia="de-DE"/>
        </w:rPr>
        <w:t>M</w:t>
      </w:r>
      <w:r w:rsidRPr="00A46EC3">
        <w:rPr>
          <w:rFonts w:asciiTheme="majorHAnsi" w:hAnsiTheme="majorHAnsi"/>
          <w:lang w:eastAsia="de-DE"/>
        </w:rPr>
        <w:t>it der Bezeichnung "Abschießen" sollen nach Weidenmann (1975, S. 97) Techniken des nichtpartnerschaftliches Argumentierens bez</w:t>
      </w:r>
      <w:bookmarkStart w:id="1" w:name="_GoBack"/>
      <w:bookmarkEnd w:id="1"/>
      <w:r w:rsidRPr="00A46EC3">
        <w:rPr>
          <w:rFonts w:asciiTheme="majorHAnsi" w:hAnsiTheme="majorHAnsi"/>
          <w:lang w:eastAsia="de-DE"/>
        </w:rPr>
        <w:t xml:space="preserve">eichnet werden, die nicht wie beim Kritisieren, "ein Argument in </w:t>
      </w:r>
      <w:proofErr w:type="spellStart"/>
      <w:r w:rsidRPr="00A46EC3">
        <w:rPr>
          <w:rFonts w:asciiTheme="majorHAnsi" w:hAnsiTheme="majorHAnsi"/>
          <w:lang w:eastAsia="de-DE"/>
        </w:rPr>
        <w:t>bezug</w:t>
      </w:r>
      <w:proofErr w:type="spellEnd"/>
      <w:r w:rsidRPr="00A46EC3">
        <w:rPr>
          <w:rFonts w:asciiTheme="majorHAnsi" w:hAnsiTheme="majorHAnsi"/>
          <w:lang w:eastAsia="de-DE"/>
        </w:rPr>
        <w:t xml:space="preserve"> auf das Diskussionsziel bewerten und diese Bewertung begründen", sondern ein Argument aus anderen als aus sachlichen Gründen zu Fall bringen wollen. Dabei kann das Abschießen das zum rhetorischen Giftschrank gehört, in verschiedenen Formen auftreten:</w:t>
      </w:r>
    </w:p>
    <w:tbl>
      <w:tblPr>
        <w:tblW w:w="9252" w:type="dxa"/>
        <w:tblLayout w:type="fixed"/>
        <w:tblCellMar>
          <w:left w:w="70" w:type="dxa"/>
          <w:right w:w="70" w:type="dxa"/>
        </w:tblCellMar>
        <w:tblLook w:val="04A0" w:firstRow="1" w:lastRow="0" w:firstColumn="1" w:lastColumn="0" w:noHBand="0" w:noVBand="1"/>
      </w:tblPr>
      <w:tblGrid>
        <w:gridCol w:w="1511"/>
        <w:gridCol w:w="1821"/>
        <w:gridCol w:w="5920"/>
      </w:tblGrid>
      <w:tr w:rsidR="00A46EC3" w:rsidRPr="00A46EC3" w:rsidTr="00A46EC3">
        <w:tc>
          <w:tcPr>
            <w:tcW w:w="3332" w:type="dxa"/>
            <w:gridSpan w:val="2"/>
            <w:tcBorders>
              <w:top w:val="single" w:sz="12" w:space="0" w:color="auto"/>
              <w:left w:val="single" w:sz="12" w:space="0" w:color="auto"/>
              <w:bottom w:val="single" w:sz="12" w:space="0" w:color="auto"/>
              <w:right w:val="single" w:sz="6" w:space="0" w:color="auto"/>
            </w:tcBorders>
            <w:hideMark/>
          </w:tcPr>
          <w:p w:rsidR="00A46EC3" w:rsidRPr="00A46EC3" w:rsidRDefault="00A46EC3">
            <w:pPr>
              <w:spacing w:before="60" w:after="60"/>
              <w:ind w:left="57" w:right="57"/>
              <w:rPr>
                <w:rFonts w:asciiTheme="majorHAnsi" w:hAnsiTheme="majorHAnsi"/>
                <w:b/>
                <w:sz w:val="20"/>
              </w:rPr>
            </w:pPr>
            <w:r w:rsidRPr="00A46EC3">
              <w:rPr>
                <w:rFonts w:asciiTheme="majorHAnsi" w:hAnsiTheme="majorHAnsi"/>
                <w:b/>
                <w:sz w:val="20"/>
              </w:rPr>
              <w:t>Verhalten</w:t>
            </w:r>
          </w:p>
        </w:tc>
        <w:tc>
          <w:tcPr>
            <w:tcW w:w="5920" w:type="dxa"/>
            <w:tcBorders>
              <w:top w:val="single" w:sz="12" w:space="0" w:color="auto"/>
              <w:left w:val="single" w:sz="6" w:space="0" w:color="auto"/>
              <w:bottom w:val="single" w:sz="12" w:space="0" w:color="auto"/>
              <w:right w:val="single" w:sz="6" w:space="0" w:color="auto"/>
            </w:tcBorders>
            <w:hideMark/>
          </w:tcPr>
          <w:p w:rsidR="00A46EC3" w:rsidRPr="00A46EC3" w:rsidRDefault="00A46EC3">
            <w:pPr>
              <w:spacing w:before="60" w:after="60"/>
              <w:ind w:left="57" w:right="57"/>
              <w:rPr>
                <w:rFonts w:asciiTheme="majorHAnsi" w:hAnsiTheme="majorHAnsi"/>
                <w:b/>
                <w:sz w:val="20"/>
              </w:rPr>
            </w:pPr>
            <w:r w:rsidRPr="00A46EC3">
              <w:rPr>
                <w:rFonts w:asciiTheme="majorHAnsi" w:hAnsiTheme="majorHAnsi"/>
                <w:b/>
                <w:sz w:val="20"/>
              </w:rPr>
              <w:t>Beispiele</w:t>
            </w:r>
          </w:p>
        </w:tc>
      </w:tr>
      <w:tr w:rsidR="00A46EC3" w:rsidRPr="00A46EC3" w:rsidTr="00A46EC3">
        <w:tc>
          <w:tcPr>
            <w:tcW w:w="1511" w:type="dxa"/>
            <w:tcBorders>
              <w:top w:val="single" w:sz="6" w:space="0" w:color="auto"/>
              <w:left w:val="single" w:sz="6" w:space="0" w:color="auto"/>
              <w:bottom w:val="single" w:sz="6" w:space="0" w:color="auto"/>
              <w:right w:val="single" w:sz="6" w:space="0" w:color="auto"/>
            </w:tcBorders>
          </w:tcPr>
          <w:p w:rsidR="00A46EC3" w:rsidRPr="00A46EC3" w:rsidRDefault="00A46EC3" w:rsidP="00A46EC3">
            <w:pPr>
              <w:spacing w:before="120" w:after="60"/>
              <w:ind w:right="57"/>
              <w:rPr>
                <w:rFonts w:asciiTheme="majorHAnsi" w:hAnsiTheme="majorHAnsi"/>
                <w:b/>
                <w:sz w:val="20"/>
              </w:rPr>
            </w:pPr>
            <w:r w:rsidRPr="00A46EC3">
              <w:rPr>
                <w:rFonts w:asciiTheme="majorHAnsi" w:hAnsiTheme="majorHAnsi"/>
                <w:b/>
                <w:sz w:val="20"/>
              </w:rPr>
              <w:t>Gesunder Menschenverstand</w:t>
            </w:r>
          </w:p>
          <w:p w:rsidR="00A46EC3" w:rsidRPr="00A46EC3" w:rsidRDefault="00A46EC3">
            <w:pPr>
              <w:spacing w:before="60" w:after="60"/>
              <w:ind w:left="57" w:right="57"/>
              <w:rPr>
                <w:rFonts w:asciiTheme="majorHAnsi" w:hAnsiTheme="majorHAnsi"/>
                <w:b/>
                <w:sz w:val="20"/>
              </w:rPr>
            </w:pPr>
          </w:p>
        </w:tc>
        <w:tc>
          <w:tcPr>
            <w:tcW w:w="1821" w:type="dxa"/>
            <w:tcBorders>
              <w:top w:val="single" w:sz="6" w:space="0" w:color="auto"/>
              <w:left w:val="single" w:sz="6" w:space="0" w:color="auto"/>
              <w:bottom w:val="single" w:sz="6" w:space="0" w:color="auto"/>
              <w:right w:val="single" w:sz="6" w:space="0" w:color="auto"/>
            </w:tcBorders>
          </w:tcPr>
          <w:p w:rsidR="00A46EC3" w:rsidRPr="00A46EC3" w:rsidRDefault="00A46EC3" w:rsidP="00A46EC3">
            <w:pPr>
              <w:spacing w:before="120" w:after="60" w:line="240" w:lineRule="auto"/>
              <w:ind w:right="57"/>
              <w:rPr>
                <w:rFonts w:asciiTheme="majorHAnsi" w:hAnsiTheme="majorHAnsi"/>
                <w:sz w:val="20"/>
              </w:rPr>
            </w:pPr>
            <w:r w:rsidRPr="00A46EC3">
              <w:rPr>
                <w:rFonts w:asciiTheme="majorHAnsi" w:hAnsiTheme="majorHAnsi"/>
                <w:sz w:val="20"/>
              </w:rPr>
              <w:t>Wer sich auf den „gesunden Menschenverstand“ beruft, tut dies häufig ohne jede Vernunft und hat nicht selten „ein Brett vor dem Kopf“.</w:t>
            </w:r>
          </w:p>
          <w:p w:rsidR="00A46EC3" w:rsidRPr="00A46EC3" w:rsidRDefault="00A46EC3">
            <w:pPr>
              <w:spacing w:before="60" w:after="60"/>
              <w:ind w:left="57" w:right="57"/>
              <w:rPr>
                <w:rFonts w:asciiTheme="majorHAnsi" w:hAnsiTheme="majorHAnsi"/>
                <w:sz w:val="20"/>
              </w:rPr>
            </w:pPr>
          </w:p>
        </w:tc>
        <w:tc>
          <w:tcPr>
            <w:tcW w:w="5920" w:type="dxa"/>
            <w:tcBorders>
              <w:top w:val="single" w:sz="6" w:space="0" w:color="auto"/>
              <w:left w:val="single" w:sz="6" w:space="0" w:color="auto"/>
              <w:bottom w:val="single" w:sz="6" w:space="0" w:color="auto"/>
              <w:right w:val="single" w:sz="6" w:space="0" w:color="auto"/>
            </w:tcBorders>
          </w:tcPr>
          <w:p w:rsidR="00A46EC3" w:rsidRPr="00A46EC3" w:rsidRDefault="00A46EC3" w:rsidP="00A46EC3">
            <w:pPr>
              <w:numPr>
                <w:ilvl w:val="0"/>
                <w:numId w:val="38"/>
              </w:numPr>
              <w:spacing w:before="120" w:after="60" w:line="240" w:lineRule="auto"/>
              <w:ind w:left="284" w:right="57" w:hanging="284"/>
              <w:rPr>
                <w:rFonts w:asciiTheme="majorHAnsi" w:hAnsiTheme="majorHAnsi"/>
                <w:sz w:val="20"/>
              </w:rPr>
            </w:pPr>
            <w:r w:rsidRPr="00A46EC3">
              <w:rPr>
                <w:rFonts w:asciiTheme="majorHAnsi" w:hAnsiTheme="majorHAnsi"/>
                <w:sz w:val="20"/>
              </w:rPr>
              <w:t>Das ist doch alles graue Theorie. Die Praxis, das weiß doch jeder, sieht doch in Wirklichkeit ganz anders aus.</w:t>
            </w:r>
          </w:p>
          <w:p w:rsidR="00A46EC3" w:rsidRPr="00A46EC3" w:rsidRDefault="00A46EC3" w:rsidP="00A46EC3">
            <w:pPr>
              <w:numPr>
                <w:ilvl w:val="0"/>
                <w:numId w:val="38"/>
              </w:numPr>
              <w:spacing w:before="60" w:after="60" w:line="240" w:lineRule="auto"/>
              <w:ind w:right="57"/>
              <w:rPr>
                <w:rFonts w:asciiTheme="majorHAnsi" w:hAnsiTheme="majorHAnsi"/>
                <w:sz w:val="20"/>
              </w:rPr>
            </w:pPr>
            <w:r w:rsidRPr="00A46EC3">
              <w:rPr>
                <w:rFonts w:asciiTheme="majorHAnsi" w:hAnsiTheme="majorHAnsi"/>
                <w:sz w:val="20"/>
              </w:rPr>
              <w:t>Das sind doch alles bloß Hirngespinste. Der Mensch ist halt nicht zu bändigen, sein Hunger ist unermesslich.</w:t>
            </w:r>
          </w:p>
          <w:p w:rsidR="00A46EC3" w:rsidRPr="00A46EC3" w:rsidRDefault="00A46EC3" w:rsidP="00A46EC3">
            <w:pPr>
              <w:numPr>
                <w:ilvl w:val="0"/>
                <w:numId w:val="38"/>
              </w:numPr>
              <w:spacing w:before="60" w:after="60" w:line="240" w:lineRule="auto"/>
              <w:ind w:right="57"/>
              <w:rPr>
                <w:rFonts w:asciiTheme="majorHAnsi" w:hAnsiTheme="majorHAnsi"/>
                <w:sz w:val="20"/>
              </w:rPr>
            </w:pPr>
            <w:r w:rsidRPr="00A46EC3">
              <w:rPr>
                <w:rFonts w:asciiTheme="majorHAnsi" w:hAnsiTheme="majorHAnsi"/>
                <w:sz w:val="20"/>
              </w:rPr>
              <w:t xml:space="preserve">Ich finde, man sollte sich immer vor Extremen hüten, denn der goldene Mittelweg ist doch immer das </w:t>
            </w:r>
            <w:proofErr w:type="spellStart"/>
            <w:proofErr w:type="gramStart"/>
            <w:r w:rsidRPr="00A46EC3">
              <w:rPr>
                <w:rFonts w:asciiTheme="majorHAnsi" w:hAnsiTheme="majorHAnsi"/>
                <w:sz w:val="20"/>
              </w:rPr>
              <w:t>beste</w:t>
            </w:r>
            <w:proofErr w:type="spellEnd"/>
            <w:proofErr w:type="gramEnd"/>
            <w:r w:rsidRPr="00A46EC3">
              <w:rPr>
                <w:rFonts w:asciiTheme="majorHAnsi" w:hAnsiTheme="majorHAnsi"/>
                <w:sz w:val="20"/>
              </w:rPr>
              <w:t>.</w:t>
            </w:r>
          </w:p>
          <w:p w:rsidR="00A46EC3" w:rsidRPr="00A46EC3" w:rsidRDefault="00A46EC3">
            <w:pPr>
              <w:spacing w:before="60" w:after="60"/>
              <w:ind w:left="340" w:right="57"/>
              <w:rPr>
                <w:rFonts w:asciiTheme="majorHAnsi" w:hAnsiTheme="majorHAnsi"/>
                <w:sz w:val="20"/>
              </w:rPr>
            </w:pPr>
          </w:p>
        </w:tc>
      </w:tr>
      <w:tr w:rsidR="00A46EC3" w:rsidRPr="00A46EC3" w:rsidTr="00A46EC3">
        <w:tc>
          <w:tcPr>
            <w:tcW w:w="1511" w:type="dxa"/>
            <w:tcBorders>
              <w:top w:val="single" w:sz="6" w:space="0" w:color="auto"/>
              <w:left w:val="single" w:sz="6" w:space="0" w:color="auto"/>
              <w:bottom w:val="single" w:sz="6" w:space="0" w:color="auto"/>
              <w:right w:val="single" w:sz="6" w:space="0" w:color="auto"/>
            </w:tcBorders>
            <w:hideMark/>
          </w:tcPr>
          <w:p w:rsidR="00A46EC3" w:rsidRPr="00A46EC3" w:rsidRDefault="00A46EC3" w:rsidP="00A46EC3">
            <w:pPr>
              <w:spacing w:before="120" w:after="60"/>
              <w:ind w:right="57"/>
              <w:rPr>
                <w:rFonts w:asciiTheme="majorHAnsi" w:hAnsiTheme="majorHAnsi"/>
                <w:b/>
                <w:sz w:val="20"/>
              </w:rPr>
            </w:pPr>
            <w:r w:rsidRPr="00A46EC3">
              <w:rPr>
                <w:rFonts w:asciiTheme="majorHAnsi" w:hAnsiTheme="majorHAnsi"/>
                <w:b/>
                <w:sz w:val="20"/>
              </w:rPr>
              <w:t>Übertreiben</w:t>
            </w:r>
          </w:p>
        </w:tc>
        <w:tc>
          <w:tcPr>
            <w:tcW w:w="1821" w:type="dxa"/>
            <w:tcBorders>
              <w:top w:val="single" w:sz="6" w:space="0" w:color="auto"/>
              <w:left w:val="single" w:sz="6" w:space="0" w:color="auto"/>
              <w:bottom w:val="single" w:sz="6" w:space="0" w:color="auto"/>
              <w:right w:val="single" w:sz="6" w:space="0" w:color="auto"/>
            </w:tcBorders>
          </w:tcPr>
          <w:p w:rsidR="00A46EC3" w:rsidRPr="00A46EC3" w:rsidRDefault="00A46EC3" w:rsidP="00A46EC3">
            <w:pPr>
              <w:spacing w:before="120" w:after="60" w:line="240" w:lineRule="auto"/>
              <w:ind w:right="57"/>
              <w:rPr>
                <w:rFonts w:asciiTheme="majorHAnsi" w:hAnsiTheme="majorHAnsi"/>
                <w:sz w:val="20"/>
              </w:rPr>
            </w:pPr>
            <w:r w:rsidRPr="00A46EC3">
              <w:rPr>
                <w:rFonts w:asciiTheme="majorHAnsi" w:hAnsiTheme="majorHAnsi"/>
                <w:sz w:val="20"/>
              </w:rPr>
              <w:t>Um ein Argument zu Fall zu bringen wird maßlos übertrieben, geradezu der Teufel an die Wand gemalt.</w:t>
            </w:r>
          </w:p>
          <w:p w:rsidR="00A46EC3" w:rsidRPr="00A46EC3" w:rsidRDefault="00A46EC3">
            <w:pPr>
              <w:spacing w:before="60" w:after="60"/>
              <w:ind w:left="57" w:right="57"/>
              <w:rPr>
                <w:rFonts w:asciiTheme="majorHAnsi" w:hAnsiTheme="majorHAnsi"/>
                <w:sz w:val="20"/>
              </w:rPr>
            </w:pPr>
          </w:p>
        </w:tc>
        <w:tc>
          <w:tcPr>
            <w:tcW w:w="5920" w:type="dxa"/>
            <w:tcBorders>
              <w:top w:val="single" w:sz="6" w:space="0" w:color="auto"/>
              <w:left w:val="single" w:sz="6" w:space="0" w:color="auto"/>
              <w:bottom w:val="single" w:sz="6" w:space="0" w:color="auto"/>
              <w:right w:val="single" w:sz="6" w:space="0" w:color="auto"/>
            </w:tcBorders>
          </w:tcPr>
          <w:p w:rsidR="00A46EC3" w:rsidRPr="00A46EC3" w:rsidRDefault="00A46EC3" w:rsidP="00A46EC3">
            <w:pPr>
              <w:numPr>
                <w:ilvl w:val="0"/>
                <w:numId w:val="38"/>
              </w:numPr>
              <w:spacing w:before="120" w:after="60" w:line="240" w:lineRule="auto"/>
              <w:ind w:left="284" w:right="57" w:hanging="284"/>
              <w:rPr>
                <w:rFonts w:asciiTheme="majorHAnsi" w:hAnsiTheme="majorHAnsi"/>
                <w:sz w:val="20"/>
              </w:rPr>
            </w:pPr>
            <w:r w:rsidRPr="00A46EC3">
              <w:rPr>
                <w:rFonts w:asciiTheme="majorHAnsi" w:hAnsiTheme="majorHAnsi"/>
                <w:sz w:val="20"/>
              </w:rPr>
              <w:t>Wenn wir in diesem Fall nicht konsequent sind, werden wir morgen überhaupt keine Möglichkeit mehr besitzen zu handeln.</w:t>
            </w:r>
          </w:p>
          <w:p w:rsidR="00A46EC3" w:rsidRPr="00A46EC3" w:rsidRDefault="00A46EC3" w:rsidP="00A46EC3">
            <w:pPr>
              <w:numPr>
                <w:ilvl w:val="0"/>
                <w:numId w:val="38"/>
              </w:numPr>
              <w:spacing w:before="60" w:after="60" w:line="240" w:lineRule="auto"/>
              <w:ind w:right="57"/>
              <w:rPr>
                <w:rFonts w:asciiTheme="majorHAnsi" w:hAnsiTheme="majorHAnsi"/>
                <w:sz w:val="20"/>
              </w:rPr>
            </w:pPr>
            <w:r w:rsidRPr="00A46EC3">
              <w:rPr>
                <w:rFonts w:asciiTheme="majorHAnsi" w:hAnsiTheme="majorHAnsi"/>
                <w:sz w:val="20"/>
              </w:rPr>
              <w:t>Das ist eine Entwicklung, die nur in einer Katastrophe münden kann.</w:t>
            </w:r>
          </w:p>
          <w:p w:rsidR="00A46EC3" w:rsidRPr="00A46EC3" w:rsidRDefault="00A46EC3" w:rsidP="00A46EC3">
            <w:pPr>
              <w:numPr>
                <w:ilvl w:val="0"/>
                <w:numId w:val="38"/>
              </w:numPr>
              <w:spacing w:before="60" w:after="60" w:line="240" w:lineRule="auto"/>
              <w:ind w:right="57"/>
              <w:rPr>
                <w:rFonts w:asciiTheme="majorHAnsi" w:hAnsiTheme="majorHAnsi"/>
                <w:sz w:val="20"/>
              </w:rPr>
            </w:pPr>
            <w:r w:rsidRPr="00A46EC3">
              <w:rPr>
                <w:rFonts w:asciiTheme="majorHAnsi" w:hAnsiTheme="majorHAnsi"/>
                <w:sz w:val="20"/>
              </w:rPr>
              <w:t>Wer für Abtreibung ist, befürwortet Mord.</w:t>
            </w:r>
          </w:p>
        </w:tc>
      </w:tr>
      <w:tr w:rsidR="00A46EC3" w:rsidRPr="00A46EC3" w:rsidTr="00A46EC3">
        <w:tc>
          <w:tcPr>
            <w:tcW w:w="1511" w:type="dxa"/>
            <w:tcBorders>
              <w:top w:val="single" w:sz="6" w:space="0" w:color="auto"/>
              <w:left w:val="single" w:sz="6" w:space="0" w:color="auto"/>
              <w:bottom w:val="single" w:sz="6" w:space="0" w:color="auto"/>
              <w:right w:val="single" w:sz="6" w:space="0" w:color="auto"/>
            </w:tcBorders>
            <w:hideMark/>
          </w:tcPr>
          <w:p w:rsidR="00A46EC3" w:rsidRPr="00A46EC3" w:rsidRDefault="00A46EC3" w:rsidP="00A46EC3">
            <w:pPr>
              <w:spacing w:before="120" w:after="60"/>
              <w:ind w:right="57"/>
              <w:rPr>
                <w:rFonts w:asciiTheme="majorHAnsi" w:hAnsiTheme="majorHAnsi"/>
                <w:b/>
                <w:sz w:val="20"/>
              </w:rPr>
            </w:pPr>
            <w:r w:rsidRPr="00A46EC3">
              <w:rPr>
                <w:rFonts w:asciiTheme="majorHAnsi" w:hAnsiTheme="majorHAnsi"/>
                <w:b/>
                <w:sz w:val="20"/>
              </w:rPr>
              <w:t>Verunsichern</w:t>
            </w:r>
          </w:p>
        </w:tc>
        <w:tc>
          <w:tcPr>
            <w:tcW w:w="1821" w:type="dxa"/>
            <w:tcBorders>
              <w:top w:val="single" w:sz="6" w:space="0" w:color="auto"/>
              <w:left w:val="single" w:sz="6" w:space="0" w:color="auto"/>
              <w:bottom w:val="single" w:sz="6" w:space="0" w:color="auto"/>
              <w:right w:val="single" w:sz="6" w:space="0" w:color="auto"/>
            </w:tcBorders>
          </w:tcPr>
          <w:p w:rsidR="00A46EC3" w:rsidRPr="00A46EC3" w:rsidRDefault="00A46EC3" w:rsidP="00A46EC3">
            <w:pPr>
              <w:spacing w:before="120" w:after="60" w:line="240" w:lineRule="auto"/>
              <w:ind w:right="57"/>
              <w:rPr>
                <w:rFonts w:asciiTheme="majorHAnsi" w:hAnsiTheme="majorHAnsi"/>
                <w:sz w:val="20"/>
              </w:rPr>
            </w:pPr>
            <w:r w:rsidRPr="00A46EC3">
              <w:rPr>
                <w:rFonts w:asciiTheme="majorHAnsi" w:hAnsiTheme="majorHAnsi"/>
                <w:sz w:val="20"/>
              </w:rPr>
              <w:t>Die Argumente des anderen sollen dadurch erschüttert werden, dass man die Person, die sie äußert, verunsichert.</w:t>
            </w:r>
          </w:p>
        </w:tc>
        <w:tc>
          <w:tcPr>
            <w:tcW w:w="5920" w:type="dxa"/>
            <w:tcBorders>
              <w:top w:val="single" w:sz="6" w:space="0" w:color="auto"/>
              <w:left w:val="single" w:sz="6" w:space="0" w:color="auto"/>
              <w:bottom w:val="single" w:sz="6" w:space="0" w:color="auto"/>
              <w:right w:val="single" w:sz="6" w:space="0" w:color="auto"/>
            </w:tcBorders>
            <w:hideMark/>
          </w:tcPr>
          <w:p w:rsidR="00A46EC3" w:rsidRPr="00A46EC3" w:rsidRDefault="00A46EC3" w:rsidP="00A46EC3">
            <w:pPr>
              <w:numPr>
                <w:ilvl w:val="0"/>
                <w:numId w:val="38"/>
              </w:numPr>
              <w:spacing w:before="120" w:after="60" w:line="240" w:lineRule="auto"/>
              <w:ind w:left="284" w:right="57" w:hanging="284"/>
              <w:rPr>
                <w:rFonts w:asciiTheme="majorHAnsi" w:hAnsiTheme="majorHAnsi"/>
                <w:sz w:val="20"/>
              </w:rPr>
            </w:pPr>
            <w:r w:rsidRPr="00A46EC3">
              <w:rPr>
                <w:rFonts w:asciiTheme="majorHAnsi" w:hAnsiTheme="majorHAnsi"/>
                <w:sz w:val="20"/>
              </w:rPr>
              <w:t>Sind Sie sich Ihrer Sache da so sicher?</w:t>
            </w:r>
          </w:p>
          <w:p w:rsidR="00A46EC3" w:rsidRPr="00A46EC3" w:rsidRDefault="00A46EC3" w:rsidP="00A46EC3">
            <w:pPr>
              <w:numPr>
                <w:ilvl w:val="0"/>
                <w:numId w:val="38"/>
              </w:numPr>
              <w:spacing w:before="60" w:after="60" w:line="240" w:lineRule="auto"/>
              <w:ind w:right="57"/>
              <w:rPr>
                <w:rFonts w:asciiTheme="majorHAnsi" w:hAnsiTheme="majorHAnsi"/>
                <w:sz w:val="20"/>
              </w:rPr>
            </w:pPr>
            <w:r w:rsidRPr="00A46EC3">
              <w:rPr>
                <w:rFonts w:asciiTheme="majorHAnsi" w:hAnsiTheme="majorHAnsi"/>
                <w:sz w:val="20"/>
              </w:rPr>
              <w:t>Woher wollen Sie das denn so genau wissen?</w:t>
            </w:r>
          </w:p>
          <w:p w:rsidR="00A46EC3" w:rsidRPr="00A46EC3" w:rsidRDefault="00A46EC3" w:rsidP="00A46EC3">
            <w:pPr>
              <w:numPr>
                <w:ilvl w:val="0"/>
                <w:numId w:val="38"/>
              </w:numPr>
              <w:spacing w:before="60" w:after="60" w:line="240" w:lineRule="auto"/>
              <w:ind w:right="57"/>
              <w:rPr>
                <w:rFonts w:asciiTheme="majorHAnsi" w:hAnsiTheme="majorHAnsi"/>
                <w:sz w:val="20"/>
              </w:rPr>
            </w:pPr>
            <w:r w:rsidRPr="00A46EC3">
              <w:rPr>
                <w:rFonts w:asciiTheme="majorHAnsi" w:hAnsiTheme="majorHAnsi"/>
                <w:sz w:val="20"/>
              </w:rPr>
              <w:t>Haben Sie auch nachgeforscht, ob dazu nicht schon längst neue Erkenntnisse vorliegen?</w:t>
            </w:r>
          </w:p>
        </w:tc>
      </w:tr>
      <w:tr w:rsidR="00A46EC3" w:rsidRPr="00A46EC3" w:rsidTr="00A46EC3">
        <w:tc>
          <w:tcPr>
            <w:tcW w:w="1511" w:type="dxa"/>
            <w:tcBorders>
              <w:top w:val="single" w:sz="6" w:space="0" w:color="auto"/>
              <w:left w:val="single" w:sz="6" w:space="0" w:color="auto"/>
              <w:bottom w:val="single" w:sz="6" w:space="0" w:color="auto"/>
              <w:right w:val="single" w:sz="6" w:space="0" w:color="auto"/>
            </w:tcBorders>
            <w:hideMark/>
          </w:tcPr>
          <w:p w:rsidR="00A46EC3" w:rsidRPr="00A46EC3" w:rsidRDefault="00A46EC3" w:rsidP="00A46EC3">
            <w:pPr>
              <w:spacing w:before="120" w:after="60"/>
              <w:ind w:right="57"/>
              <w:rPr>
                <w:rFonts w:asciiTheme="majorHAnsi" w:hAnsiTheme="majorHAnsi"/>
                <w:sz w:val="20"/>
              </w:rPr>
            </w:pPr>
            <w:r w:rsidRPr="00A46EC3">
              <w:rPr>
                <w:rFonts w:asciiTheme="majorHAnsi" w:hAnsiTheme="majorHAnsi"/>
                <w:sz w:val="20"/>
              </w:rPr>
              <w:t>So tun als ob</w:t>
            </w:r>
          </w:p>
        </w:tc>
        <w:tc>
          <w:tcPr>
            <w:tcW w:w="1821" w:type="dxa"/>
            <w:tcBorders>
              <w:top w:val="single" w:sz="6" w:space="0" w:color="auto"/>
              <w:left w:val="single" w:sz="6" w:space="0" w:color="auto"/>
              <w:bottom w:val="single" w:sz="6" w:space="0" w:color="auto"/>
              <w:right w:val="single" w:sz="6" w:space="0" w:color="auto"/>
            </w:tcBorders>
          </w:tcPr>
          <w:p w:rsidR="00A46EC3" w:rsidRPr="00A46EC3" w:rsidRDefault="00A46EC3" w:rsidP="00A46EC3">
            <w:pPr>
              <w:spacing w:before="120" w:after="60" w:line="240" w:lineRule="auto"/>
              <w:ind w:right="57"/>
              <w:rPr>
                <w:rFonts w:asciiTheme="majorHAnsi" w:hAnsiTheme="majorHAnsi"/>
                <w:sz w:val="20"/>
              </w:rPr>
            </w:pPr>
            <w:r w:rsidRPr="00A46EC3">
              <w:rPr>
                <w:rFonts w:asciiTheme="majorHAnsi" w:hAnsiTheme="majorHAnsi"/>
                <w:sz w:val="20"/>
              </w:rPr>
              <w:t>Argumente sollen dadurch entkräftet werden, dass man zum Schein die Gegenposition einnimmt.</w:t>
            </w:r>
          </w:p>
          <w:p w:rsidR="00A46EC3" w:rsidRPr="00A46EC3" w:rsidRDefault="00A46EC3">
            <w:pPr>
              <w:spacing w:before="60" w:after="60"/>
              <w:ind w:left="57" w:right="57"/>
              <w:rPr>
                <w:rFonts w:asciiTheme="majorHAnsi" w:hAnsiTheme="majorHAnsi"/>
                <w:sz w:val="20"/>
              </w:rPr>
            </w:pPr>
          </w:p>
        </w:tc>
        <w:tc>
          <w:tcPr>
            <w:tcW w:w="5920" w:type="dxa"/>
            <w:tcBorders>
              <w:top w:val="single" w:sz="6" w:space="0" w:color="auto"/>
              <w:left w:val="single" w:sz="6" w:space="0" w:color="auto"/>
              <w:bottom w:val="single" w:sz="6" w:space="0" w:color="auto"/>
              <w:right w:val="single" w:sz="6" w:space="0" w:color="auto"/>
            </w:tcBorders>
            <w:hideMark/>
          </w:tcPr>
          <w:p w:rsidR="00A46EC3" w:rsidRPr="00A46EC3" w:rsidRDefault="00A46EC3" w:rsidP="00A46EC3">
            <w:pPr>
              <w:numPr>
                <w:ilvl w:val="0"/>
                <w:numId w:val="38"/>
              </w:numPr>
              <w:spacing w:before="120" w:after="60" w:line="240" w:lineRule="auto"/>
              <w:ind w:left="284" w:right="57" w:hanging="284"/>
              <w:rPr>
                <w:rFonts w:asciiTheme="majorHAnsi" w:hAnsiTheme="majorHAnsi"/>
                <w:sz w:val="20"/>
              </w:rPr>
            </w:pPr>
            <w:r w:rsidRPr="00A46EC3">
              <w:rPr>
                <w:rFonts w:asciiTheme="majorHAnsi" w:hAnsiTheme="majorHAnsi"/>
                <w:sz w:val="20"/>
              </w:rPr>
              <w:t>Ich persönlich finde deinen Vorschlag wirklich gut. Aber wenn ich mir mal vorstelle, wie die anderen darauf reagieren: Bestimmt denken die …</w:t>
            </w:r>
          </w:p>
          <w:p w:rsidR="00A46EC3" w:rsidRPr="00A46EC3" w:rsidRDefault="00A46EC3" w:rsidP="00A46EC3">
            <w:pPr>
              <w:numPr>
                <w:ilvl w:val="0"/>
                <w:numId w:val="38"/>
              </w:numPr>
              <w:spacing w:before="60" w:after="60" w:line="240" w:lineRule="auto"/>
              <w:ind w:right="57"/>
              <w:rPr>
                <w:rFonts w:asciiTheme="majorHAnsi" w:hAnsiTheme="majorHAnsi"/>
                <w:sz w:val="20"/>
              </w:rPr>
            </w:pPr>
            <w:r w:rsidRPr="00A46EC3">
              <w:rPr>
                <w:rFonts w:asciiTheme="majorHAnsi" w:hAnsiTheme="majorHAnsi"/>
                <w:sz w:val="20"/>
              </w:rPr>
              <w:t>Ich tu’ jetzt einfach mal so, als ob ich die Sache wirklich ganz entschieden befürworten würde. Dann wäre mir natürlich besonders wichtig …</w:t>
            </w:r>
          </w:p>
          <w:p w:rsidR="00A46EC3" w:rsidRPr="00A46EC3" w:rsidRDefault="00A46EC3" w:rsidP="00A46EC3">
            <w:pPr>
              <w:numPr>
                <w:ilvl w:val="0"/>
                <w:numId w:val="38"/>
              </w:numPr>
              <w:spacing w:before="60" w:after="60" w:line="240" w:lineRule="auto"/>
              <w:ind w:right="57"/>
              <w:rPr>
                <w:rFonts w:asciiTheme="majorHAnsi" w:hAnsiTheme="majorHAnsi"/>
                <w:sz w:val="20"/>
              </w:rPr>
            </w:pPr>
            <w:r w:rsidRPr="00A46EC3">
              <w:rPr>
                <w:rFonts w:asciiTheme="majorHAnsi" w:hAnsiTheme="majorHAnsi"/>
                <w:sz w:val="20"/>
              </w:rPr>
              <w:t>Wenn ich ein Mann wäre, würde ich aber in einer solchen Situation gar nicht an so etwas denken.</w:t>
            </w:r>
          </w:p>
        </w:tc>
      </w:tr>
    </w:tbl>
    <w:p w:rsidR="00D97DC1" w:rsidRPr="00D97DC1" w:rsidRDefault="00D97DC1" w:rsidP="00E50B60">
      <w:pPr>
        <w:spacing w:after="60"/>
        <w:jc w:val="center"/>
        <w:rPr>
          <w:rFonts w:asciiTheme="majorHAnsi" w:hAnsiTheme="majorHAnsi"/>
        </w:rPr>
      </w:pPr>
      <w:r w:rsidRPr="00D97DC1">
        <w:rPr>
          <w:sz w:val="12"/>
        </w:rPr>
        <w:br/>
      </w:r>
      <w:r w:rsidRPr="00D97DC1">
        <w:rPr>
          <w:rFonts w:asciiTheme="majorHAnsi" w:hAnsiTheme="majorHAnsi"/>
        </w:rPr>
        <w:t>(nach:  Bernd Weidenmann, Diskussionstraining, Reinbek bei Hamburg 1975, S. 9</w:t>
      </w:r>
      <w:r w:rsidR="00A46EC3">
        <w:rPr>
          <w:rFonts w:asciiTheme="majorHAnsi" w:hAnsiTheme="majorHAnsi"/>
        </w:rPr>
        <w:t>7</w:t>
      </w:r>
      <w:r w:rsidRPr="00D97DC1">
        <w:rPr>
          <w:rFonts w:asciiTheme="majorHAnsi" w:hAnsiTheme="majorHAnsi"/>
        </w:rPr>
        <w:t>f.)</w:t>
      </w:r>
    </w:p>
    <w:p w:rsidR="00A46EC3" w:rsidRDefault="00A46EC3" w:rsidP="00E50B60">
      <w:pPr>
        <w:spacing w:after="0"/>
        <w:rPr>
          <w:b/>
        </w:rPr>
      </w:pPr>
    </w:p>
    <w:p w:rsidR="00D86C80" w:rsidRPr="009E3850" w:rsidRDefault="00D86C80" w:rsidP="00E50B60">
      <w:pPr>
        <w:spacing w:after="0"/>
        <w:rPr>
          <w:b/>
        </w:rPr>
      </w:pPr>
      <w:r w:rsidRPr="009E3850">
        <w:rPr>
          <w:b/>
        </w:rPr>
        <w:t>Arbeitsanregungen:</w:t>
      </w:r>
    </w:p>
    <w:p w:rsidR="00D97DC1" w:rsidRDefault="00D97DC1" w:rsidP="00D97DC1">
      <w:pPr>
        <w:numPr>
          <w:ilvl w:val="0"/>
          <w:numId w:val="33"/>
        </w:numPr>
        <w:spacing w:after="0" w:line="240" w:lineRule="auto"/>
      </w:pPr>
      <w:r>
        <w:t>Überlegen Sie, wie man den dargestellten „unfairen“ Methoden am besten begegnen könnte.</w:t>
      </w:r>
    </w:p>
    <w:p w:rsidR="00DE0CD4" w:rsidRDefault="00591814" w:rsidP="00E50B60">
      <w:pPr>
        <w:numPr>
          <w:ilvl w:val="0"/>
          <w:numId w:val="33"/>
        </w:numPr>
        <w:spacing w:after="0" w:line="240" w:lineRule="auto"/>
      </w:pPr>
      <w:r>
        <w:t>Stellen Sie die Situationen</w:t>
      </w:r>
      <w:r w:rsidR="00D97DC1">
        <w:t xml:space="preserve"> in einem kurzen Rollenspiel dar.</w:t>
      </w:r>
    </w:p>
    <w:sectPr w:rsidR="00DE0CD4" w:rsidSect="00A204EF">
      <w:headerReference w:type="default" r:id="rId8"/>
      <w:footerReference w:type="default" r:id="rI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897B21" w:rsidP="00897B21">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sidR="00053F39">
      <w:rPr>
        <w:rFonts w:asciiTheme="majorHAnsi" w:hAnsiTheme="majorHAnsi"/>
        <w:sz w:val="20"/>
      </w:rPr>
      <w:t xml:space="preserve">                                                          </w:t>
    </w:r>
    <w:r>
      <w:rPr>
        <w:rFonts w:asciiTheme="majorHAnsi" w:hAnsiTheme="majorHAnsi"/>
        <w:sz w:val="20"/>
      </w:rPr>
      <w:t xml:space="preserve">     </w:t>
    </w:r>
    <w:r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707A9A"/>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672BB"/>
    <w:multiLevelType w:val="hybridMultilevel"/>
    <w:tmpl w:val="9544B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E044C2"/>
    <w:multiLevelType w:val="hybridMultilevel"/>
    <w:tmpl w:val="0A8AB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DF45B8"/>
    <w:multiLevelType w:val="hybridMultilevel"/>
    <w:tmpl w:val="B1A8FC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E4A38A9"/>
    <w:multiLevelType w:val="hybridMultilevel"/>
    <w:tmpl w:val="CC1832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4437DA"/>
    <w:multiLevelType w:val="hybridMultilevel"/>
    <w:tmpl w:val="DA4C3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5A5C0B"/>
    <w:multiLevelType w:val="hybridMultilevel"/>
    <w:tmpl w:val="9E22FAF6"/>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50D2E0B"/>
    <w:multiLevelType w:val="hybridMultilevel"/>
    <w:tmpl w:val="3838098A"/>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12">
    <w:nsid w:val="256A7C1E"/>
    <w:multiLevelType w:val="hybridMultilevel"/>
    <w:tmpl w:val="C292F2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8F90D4D"/>
    <w:multiLevelType w:val="hybridMultilevel"/>
    <w:tmpl w:val="0B4E1B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97D4F24"/>
    <w:multiLevelType w:val="hybridMultilevel"/>
    <w:tmpl w:val="B4442E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BE40467"/>
    <w:multiLevelType w:val="hybridMultilevel"/>
    <w:tmpl w:val="3FA62F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F0B73A7"/>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7968D7"/>
    <w:multiLevelType w:val="hybridMultilevel"/>
    <w:tmpl w:val="829E7CF0"/>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2FC2172"/>
    <w:multiLevelType w:val="hybridMultilevel"/>
    <w:tmpl w:val="ABB25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140E50"/>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67067A"/>
    <w:multiLevelType w:val="hybridMultilevel"/>
    <w:tmpl w:val="685E5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8791837"/>
    <w:multiLevelType w:val="hybridMultilevel"/>
    <w:tmpl w:val="34D8CE50"/>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9394D94"/>
    <w:multiLevelType w:val="hybridMultilevel"/>
    <w:tmpl w:val="E50C82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2DC18CE"/>
    <w:multiLevelType w:val="hybridMultilevel"/>
    <w:tmpl w:val="75C8EA3E"/>
    <w:lvl w:ilvl="0" w:tplc="00000001">
      <w:start w:val="1"/>
      <w:numFmt w:val="bullet"/>
      <w:lvlText w:val="•"/>
      <w:lvlJc w:val="left"/>
      <w:pPr>
        <w:ind w:left="360" w:hanging="360"/>
      </w:pPr>
    </w:lvl>
    <w:lvl w:ilvl="1" w:tplc="04070003">
      <w:start w:val="1"/>
      <w:numFmt w:val="bullet"/>
      <w:lvlText w:val="o"/>
      <w:lvlJc w:val="left"/>
      <w:pPr>
        <w:ind w:left="-546" w:hanging="360"/>
      </w:pPr>
      <w:rPr>
        <w:rFonts w:ascii="Courier New" w:hAnsi="Courier New" w:cs="Courier New" w:hint="default"/>
      </w:rPr>
    </w:lvl>
    <w:lvl w:ilvl="2" w:tplc="04070005">
      <w:start w:val="1"/>
      <w:numFmt w:val="bullet"/>
      <w:lvlText w:val=""/>
      <w:lvlJc w:val="left"/>
      <w:pPr>
        <w:ind w:left="174" w:hanging="360"/>
      </w:pPr>
      <w:rPr>
        <w:rFonts w:ascii="Wingdings" w:hAnsi="Wingdings" w:hint="default"/>
      </w:rPr>
    </w:lvl>
    <w:lvl w:ilvl="3" w:tplc="0407000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28">
    <w:nsid w:val="53C2730B"/>
    <w:multiLevelType w:val="hybridMultilevel"/>
    <w:tmpl w:val="7D163C7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nsid w:val="557E1799"/>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2A2DC5"/>
    <w:multiLevelType w:val="hybridMultilevel"/>
    <w:tmpl w:val="1EF64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90F550A"/>
    <w:multiLevelType w:val="hybridMultilevel"/>
    <w:tmpl w:val="3F3075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33">
    <w:nsid w:val="59462CEA"/>
    <w:multiLevelType w:val="multilevel"/>
    <w:tmpl w:val="9B72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A36F06"/>
    <w:multiLevelType w:val="hybridMultilevel"/>
    <w:tmpl w:val="13E6A320"/>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DD57DD2"/>
    <w:multiLevelType w:val="hybridMultilevel"/>
    <w:tmpl w:val="B882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ED83CAA"/>
    <w:multiLevelType w:val="hybridMultilevel"/>
    <w:tmpl w:val="099E72B0"/>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F674958"/>
    <w:multiLevelType w:val="multilevel"/>
    <w:tmpl w:val="F138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574979"/>
    <w:multiLevelType w:val="hybridMultilevel"/>
    <w:tmpl w:val="BBA88D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7BA662F"/>
    <w:multiLevelType w:val="hybridMultilevel"/>
    <w:tmpl w:val="D1D697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79E06AF9"/>
    <w:multiLevelType w:val="hybridMultilevel"/>
    <w:tmpl w:val="50AC2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AB70B01"/>
    <w:multiLevelType w:val="hybridMultilevel"/>
    <w:tmpl w:val="92461CA8"/>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41"/>
  </w:num>
  <w:num w:numId="4">
    <w:abstractNumId w:val="21"/>
  </w:num>
  <w:num w:numId="5">
    <w:abstractNumId w:val="43"/>
  </w:num>
  <w:num w:numId="6">
    <w:abstractNumId w:val="26"/>
  </w:num>
  <w:num w:numId="7">
    <w:abstractNumId w:val="20"/>
  </w:num>
  <w:num w:numId="8">
    <w:abstractNumId w:val="1"/>
  </w:num>
  <w:num w:numId="9">
    <w:abstractNumId w:val="32"/>
  </w:num>
  <w:num w:numId="10">
    <w:abstractNumId w:val="2"/>
  </w:num>
  <w:num w:numId="11">
    <w:abstractNumId w:val="27"/>
  </w:num>
  <w:num w:numId="12">
    <w:abstractNumId w:val="11"/>
  </w:num>
  <w:num w:numId="13">
    <w:abstractNumId w:val="5"/>
  </w:num>
  <w:num w:numId="14">
    <w:abstractNumId w:val="12"/>
  </w:num>
  <w:num w:numId="15">
    <w:abstractNumId w:val="16"/>
  </w:num>
  <w:num w:numId="16">
    <w:abstractNumId w:val="38"/>
  </w:num>
  <w:num w:numId="17">
    <w:abstractNumId w:val="28"/>
  </w:num>
  <w:num w:numId="18">
    <w:abstractNumId w:val="29"/>
  </w:num>
  <w:num w:numId="19">
    <w:abstractNumId w:val="3"/>
  </w:num>
  <w:num w:numId="20">
    <w:abstractNumId w:val="35"/>
  </w:num>
  <w:num w:numId="21">
    <w:abstractNumId w:val="22"/>
  </w:num>
  <w:num w:numId="22">
    <w:abstractNumId w:val="18"/>
  </w:num>
  <w:num w:numId="23">
    <w:abstractNumId w:val="23"/>
  </w:num>
  <w:num w:numId="24">
    <w:abstractNumId w:val="15"/>
  </w:num>
  <w:num w:numId="25">
    <w:abstractNumId w:val="13"/>
  </w:num>
  <w:num w:numId="26">
    <w:abstractNumId w:val="30"/>
  </w:num>
  <w:num w:numId="27">
    <w:abstractNumId w:val="31"/>
  </w:num>
  <w:num w:numId="28">
    <w:abstractNumId w:val="4"/>
  </w:num>
  <w:num w:numId="29">
    <w:abstractNumId w:val="9"/>
  </w:num>
  <w:num w:numId="30">
    <w:abstractNumId w:val="8"/>
  </w:num>
  <w:num w:numId="31">
    <w:abstractNumId w:val="40"/>
  </w:num>
  <w:num w:numId="32">
    <w:abstractNumId w:val="39"/>
  </w:num>
  <w:num w:numId="33">
    <w:abstractNumId w:val="14"/>
  </w:num>
  <w:num w:numId="34">
    <w:abstractNumId w:val="7"/>
  </w:num>
  <w:num w:numId="35">
    <w:abstractNumId w:val="25"/>
  </w:num>
  <w:num w:numId="36">
    <w:abstractNumId w:val="37"/>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42"/>
  </w:num>
  <w:num w:numId="40">
    <w:abstractNumId w:val="34"/>
  </w:num>
  <w:num w:numId="41">
    <w:abstractNumId w:val="24"/>
  </w:num>
  <w:num w:numId="42">
    <w:abstractNumId w:val="36"/>
  </w:num>
  <w:num w:numId="43">
    <w:abstractNumId w:val="10"/>
  </w:num>
  <w:num w:numId="44">
    <w:abstractNumId w:val="17"/>
  </w:num>
  <w:num w:numId="45">
    <w:abstractNumId w:val="4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031A8"/>
    <w:rsid w:val="00032603"/>
    <w:rsid w:val="00041AC4"/>
    <w:rsid w:val="00046399"/>
    <w:rsid w:val="00053F39"/>
    <w:rsid w:val="0007306B"/>
    <w:rsid w:val="00074F4B"/>
    <w:rsid w:val="00076C4A"/>
    <w:rsid w:val="000D5E21"/>
    <w:rsid w:val="00192ECA"/>
    <w:rsid w:val="00195AB5"/>
    <w:rsid w:val="001A19EC"/>
    <w:rsid w:val="001B1684"/>
    <w:rsid w:val="001B1858"/>
    <w:rsid w:val="001C49E9"/>
    <w:rsid w:val="001C749A"/>
    <w:rsid w:val="001E6D50"/>
    <w:rsid w:val="001F2E4F"/>
    <w:rsid w:val="002244FE"/>
    <w:rsid w:val="00283D35"/>
    <w:rsid w:val="00297F75"/>
    <w:rsid w:val="002B6C9F"/>
    <w:rsid w:val="002E5557"/>
    <w:rsid w:val="00343515"/>
    <w:rsid w:val="00346FD0"/>
    <w:rsid w:val="00352A89"/>
    <w:rsid w:val="00356BE1"/>
    <w:rsid w:val="00372626"/>
    <w:rsid w:val="003777C1"/>
    <w:rsid w:val="00391F51"/>
    <w:rsid w:val="00397833"/>
    <w:rsid w:val="003C1203"/>
    <w:rsid w:val="003D2C3A"/>
    <w:rsid w:val="0045146F"/>
    <w:rsid w:val="004E5E5F"/>
    <w:rsid w:val="004F00A4"/>
    <w:rsid w:val="004F779D"/>
    <w:rsid w:val="00565867"/>
    <w:rsid w:val="00591814"/>
    <w:rsid w:val="00596943"/>
    <w:rsid w:val="005D10B7"/>
    <w:rsid w:val="005E76F8"/>
    <w:rsid w:val="00607BFF"/>
    <w:rsid w:val="006146D7"/>
    <w:rsid w:val="006377E0"/>
    <w:rsid w:val="006E5F6A"/>
    <w:rsid w:val="007544EE"/>
    <w:rsid w:val="007C661F"/>
    <w:rsid w:val="007F489D"/>
    <w:rsid w:val="008031C8"/>
    <w:rsid w:val="008476CA"/>
    <w:rsid w:val="00870709"/>
    <w:rsid w:val="008932DA"/>
    <w:rsid w:val="00897B21"/>
    <w:rsid w:val="008C01DC"/>
    <w:rsid w:val="008C57E0"/>
    <w:rsid w:val="008D0B6C"/>
    <w:rsid w:val="0091165C"/>
    <w:rsid w:val="00922202"/>
    <w:rsid w:val="009712F5"/>
    <w:rsid w:val="00977FD9"/>
    <w:rsid w:val="009E3850"/>
    <w:rsid w:val="00A204EF"/>
    <w:rsid w:val="00A46EC3"/>
    <w:rsid w:val="00AF5149"/>
    <w:rsid w:val="00B04441"/>
    <w:rsid w:val="00B10090"/>
    <w:rsid w:val="00B45808"/>
    <w:rsid w:val="00B6128F"/>
    <w:rsid w:val="00B659B5"/>
    <w:rsid w:val="00B81F2C"/>
    <w:rsid w:val="00BC6B11"/>
    <w:rsid w:val="00BD6769"/>
    <w:rsid w:val="00C04DBD"/>
    <w:rsid w:val="00C55D17"/>
    <w:rsid w:val="00C63866"/>
    <w:rsid w:val="00C93FA1"/>
    <w:rsid w:val="00CA7510"/>
    <w:rsid w:val="00CD019A"/>
    <w:rsid w:val="00D453BE"/>
    <w:rsid w:val="00D86C80"/>
    <w:rsid w:val="00D97DC1"/>
    <w:rsid w:val="00DE0CD4"/>
    <w:rsid w:val="00DF113B"/>
    <w:rsid w:val="00E478BB"/>
    <w:rsid w:val="00E50B60"/>
    <w:rsid w:val="00E55B3E"/>
    <w:rsid w:val="00E85633"/>
    <w:rsid w:val="00EE3E86"/>
    <w:rsid w:val="00F97AF2"/>
    <w:rsid w:val="00FC3653"/>
    <w:rsid w:val="00FF6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 w:type="paragraph" w:customStyle="1" w:styleId="Titelzeile">
    <w:name w:val="Titelzeile"/>
    <w:basedOn w:val="Standard"/>
    <w:rsid w:val="00D86C80"/>
    <w:pPr>
      <w:spacing w:before="240" w:after="0" w:line="240" w:lineRule="auto"/>
    </w:pPr>
    <w:rPr>
      <w:rFonts w:ascii="Verdana" w:eastAsia="Times New Roman" w:hAnsi="Verdana" w:cs="Times New Roman"/>
      <w:sz w:val="20"/>
      <w:szCs w:val="24"/>
      <w:lang w:eastAsia="de-DE"/>
    </w:rPr>
  </w:style>
  <w:style w:type="character" w:styleId="Funotenzeichen">
    <w:name w:val="footnote reference"/>
    <w:semiHidden/>
    <w:rsid w:val="00FF6402"/>
    <w:rPr>
      <w:position w:val="6"/>
      <w:sz w:val="16"/>
    </w:rPr>
  </w:style>
  <w:style w:type="paragraph" w:styleId="Funotentext">
    <w:name w:val="footnote text"/>
    <w:basedOn w:val="Standard"/>
    <w:link w:val="FunotentextZchn"/>
    <w:semiHidden/>
    <w:rsid w:val="00FF6402"/>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FF6402"/>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9853">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406617073">
      <w:bodyDiv w:val="1"/>
      <w:marLeft w:val="0"/>
      <w:marRight w:val="0"/>
      <w:marTop w:val="0"/>
      <w:marBottom w:val="0"/>
      <w:divBdr>
        <w:top w:val="none" w:sz="0" w:space="0" w:color="auto"/>
        <w:left w:val="none" w:sz="0" w:space="0" w:color="auto"/>
        <w:bottom w:val="none" w:sz="0" w:space="0" w:color="auto"/>
        <w:right w:val="none" w:sz="0" w:space="0" w:color="auto"/>
      </w:divBdr>
    </w:div>
    <w:div w:id="869955296">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370F-E69A-42D2-A2BA-F9894187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Microsoft-Konto</cp:lastModifiedBy>
  <cp:revision>2</cp:revision>
  <cp:lastPrinted>2015-02-16T17:31:00Z</cp:lastPrinted>
  <dcterms:created xsi:type="dcterms:W3CDTF">2015-02-18T16:42:00Z</dcterms:created>
  <dcterms:modified xsi:type="dcterms:W3CDTF">2015-02-18T16:42:00Z</dcterms:modified>
</cp:coreProperties>
</file>