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2C9D7FA3" w:rsidR="0067622E" w:rsidRPr="0067622E" w:rsidRDefault="001312DB" w:rsidP="00232A93">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 xml:space="preserve">Analyse der Szene </w:t>
      </w:r>
      <w:r w:rsidR="00DC1C9C">
        <w:rPr>
          <w:rFonts w:asciiTheme="majorHAnsi" w:hAnsiTheme="majorHAnsi"/>
          <w:bCs/>
          <w:color w:val="1F497D" w:themeColor="text2"/>
          <w:sz w:val="28"/>
          <w:szCs w:val="21"/>
        </w:rPr>
        <w:t>II</w:t>
      </w:r>
      <w:r w:rsidR="00AD2263">
        <w:rPr>
          <w:rFonts w:asciiTheme="majorHAnsi" w:hAnsiTheme="majorHAnsi"/>
          <w:bCs/>
          <w:color w:val="1F497D" w:themeColor="text2"/>
          <w:sz w:val="28"/>
          <w:szCs w:val="21"/>
        </w:rPr>
        <w:t>I</w:t>
      </w:r>
      <w:r w:rsidR="00DC1C9C">
        <w:rPr>
          <w:rFonts w:asciiTheme="majorHAnsi" w:hAnsiTheme="majorHAnsi"/>
          <w:bCs/>
          <w:color w:val="1F497D" w:themeColor="text2"/>
          <w:sz w:val="28"/>
          <w:szCs w:val="21"/>
        </w:rPr>
        <w:t>,</w:t>
      </w:r>
      <w:r w:rsidR="00C2036C">
        <w:rPr>
          <w:rFonts w:asciiTheme="majorHAnsi" w:hAnsiTheme="majorHAnsi"/>
          <w:bCs/>
          <w:color w:val="1F497D" w:themeColor="text2"/>
          <w:sz w:val="28"/>
          <w:szCs w:val="21"/>
        </w:rPr>
        <w:t>4</w:t>
      </w:r>
      <w:r w:rsidR="0067622E">
        <w:rPr>
          <w:rFonts w:asciiTheme="majorHAnsi" w:hAnsiTheme="majorHAnsi"/>
          <w:bCs/>
          <w:color w:val="1F497D" w:themeColor="text2"/>
          <w:sz w:val="28"/>
          <w:szCs w:val="21"/>
        </w:rPr>
        <w:t xml:space="preserve">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C2036C">
        <w:rPr>
          <w:rFonts w:asciiTheme="majorHAnsi" w:hAnsiTheme="majorHAnsi" w:cs="Arial"/>
          <w:b/>
          <w:bCs/>
          <w:color w:val="1F497D" w:themeColor="text2"/>
          <w:kern w:val="32"/>
          <w:sz w:val="32"/>
          <w:szCs w:val="36"/>
        </w:rPr>
        <w:t xml:space="preserve">Die Begegnung der Königinnen – </w:t>
      </w:r>
      <w:r w:rsidR="00EA72B5">
        <w:rPr>
          <w:rFonts w:asciiTheme="majorHAnsi" w:hAnsiTheme="majorHAnsi" w:cs="Arial"/>
          <w:b/>
          <w:bCs/>
          <w:color w:val="1F497D" w:themeColor="text2"/>
          <w:kern w:val="32"/>
          <w:sz w:val="32"/>
          <w:szCs w:val="36"/>
        </w:rPr>
        <w:t>Elisabeth</w:t>
      </w:r>
    </w:p>
    <w:p w14:paraId="715C06F8" w14:textId="55186412" w:rsidR="00C2036C" w:rsidRPr="00560611" w:rsidRDefault="00C2036C" w:rsidP="00560611">
      <w:pPr>
        <w:spacing w:after="120"/>
        <w:jc w:val="both"/>
        <w:rPr>
          <w:rFonts w:asciiTheme="majorHAnsi" w:hAnsiTheme="majorHAnsi"/>
          <w:sz w:val="20"/>
          <w:szCs w:val="20"/>
        </w:rPr>
      </w:pPr>
      <w:r w:rsidRPr="00560611">
        <w:rPr>
          <w:rFonts w:asciiTheme="majorHAnsi" w:hAnsiTheme="majorHAnsi"/>
          <w:sz w:val="20"/>
          <w:szCs w:val="20"/>
        </w:rPr>
        <w:t>Bei ihrer Begegnung in Szene III,4 von Schillers Drama »Maria Stuart« treffen mit Maria Stuart und Elisabeth zwei Figuren aufeinander, die über eine innere Pluralität von "Stimmen" verfügen, die miteinander ringen und so eine bestimmte Konfiguration im sog. "inneren Team" bilden.</w:t>
      </w:r>
    </w:p>
    <w:p w14:paraId="5553387C" w14:textId="77777777" w:rsidR="00560611" w:rsidRPr="00560611" w:rsidRDefault="00560611" w:rsidP="00560611">
      <w:pPr>
        <w:spacing w:after="0"/>
        <w:jc w:val="both"/>
        <w:rPr>
          <w:rFonts w:asciiTheme="majorHAnsi" w:hAnsiTheme="majorHAnsi"/>
          <w:sz w:val="20"/>
          <w:szCs w:val="20"/>
        </w:rPr>
      </w:pPr>
      <w:r w:rsidRPr="00560611">
        <w:rPr>
          <w:rFonts w:asciiTheme="majorHAnsi" w:hAnsiTheme="majorHAnsi"/>
          <w:sz w:val="20"/>
          <w:szCs w:val="20"/>
        </w:rPr>
        <w:t>Die Vorstellung basiert auf der Annahme, dass es im Inneren des Menschen kein einheitliches Ich oder Selbst gibt. Menschen stellen stattdessen in gewissem Sinne "multiple Persönlichkeiten" dar, die sich aus verschiedenen Anteilen zusammensetzen. (vgl. Schulz v. Thun 1998, S.52)</w:t>
      </w:r>
    </w:p>
    <w:p w14:paraId="74AABE7E" w14:textId="3ACF820E" w:rsidR="00560611" w:rsidRPr="00560611" w:rsidRDefault="00560611" w:rsidP="00560611">
      <w:pPr>
        <w:spacing w:after="0"/>
        <w:jc w:val="both"/>
        <w:rPr>
          <w:rFonts w:asciiTheme="majorHAnsi" w:hAnsiTheme="majorHAnsi"/>
          <w:sz w:val="20"/>
          <w:szCs w:val="20"/>
        </w:rPr>
      </w:pPr>
      <w:r w:rsidRPr="00560611">
        <w:rPr>
          <w:rFonts w:asciiTheme="majorHAnsi" w:hAnsiTheme="majorHAnsi"/>
          <w:sz w:val="20"/>
          <w:szCs w:val="20"/>
        </w:rPr>
        <w:t xml:space="preserve">Die Metapher des "inneren Teams" fußt dabei auf Analogien zwischen der inneren Dynamik des Menschen und der Dynamik, wie sie sich in Gruppen und Teams ereignet. Das Konstrukt beruht dabei auf der </w:t>
      </w:r>
      <w:r w:rsidRPr="00560611">
        <w:rPr>
          <w:rFonts w:asciiTheme="majorHAnsi" w:hAnsiTheme="majorHAnsi"/>
          <w:b/>
          <w:bCs/>
          <w:sz w:val="20"/>
          <w:szCs w:val="20"/>
        </w:rPr>
        <w:t>Parallelitätsthese</w:t>
      </w:r>
      <w:r w:rsidRPr="00560611">
        <w:rPr>
          <w:rFonts w:asciiTheme="majorHAnsi" w:hAnsiTheme="majorHAnsi"/>
          <w:sz w:val="20"/>
          <w:szCs w:val="20"/>
        </w:rPr>
        <w:t>, dem Gedanken, dass es in uns viele gibt, die "mit Sitz und Stimme vorhanden sind." Dabei arbeiten diese Instanzen oder Elemente mit-, gegen- und durcheinander wie normale Teams. (vgl. Schulz v. Thun 1998, S.18)</w:t>
      </w:r>
    </w:p>
    <w:p w14:paraId="555AD29F" w14:textId="77777777" w:rsidR="00560611" w:rsidRPr="00560611" w:rsidRDefault="00560611" w:rsidP="00560611">
      <w:pPr>
        <w:spacing w:after="0"/>
        <w:jc w:val="both"/>
        <w:rPr>
          <w:rFonts w:asciiTheme="majorHAnsi" w:hAnsiTheme="majorHAnsi"/>
          <w:sz w:val="20"/>
          <w:szCs w:val="20"/>
        </w:rPr>
      </w:pPr>
      <w:r w:rsidRPr="00560611">
        <w:rPr>
          <w:rFonts w:asciiTheme="majorHAnsi" w:hAnsiTheme="majorHAnsi"/>
          <w:sz w:val="20"/>
          <w:szCs w:val="20"/>
        </w:rPr>
        <w:t xml:space="preserve">Für Friedemann Schulz von Thun stellt der Begriff inneres Team ein "Kompasswort" dar, das die Entwicklungsrichtung hin auf ein </w:t>
      </w:r>
      <w:r w:rsidRPr="00560611">
        <w:rPr>
          <w:rFonts w:asciiTheme="majorHAnsi" w:hAnsiTheme="majorHAnsi"/>
          <w:b/>
          <w:bCs/>
          <w:sz w:val="20"/>
          <w:szCs w:val="20"/>
        </w:rPr>
        <w:t>Ideal</w:t>
      </w:r>
      <w:r w:rsidRPr="00560611">
        <w:rPr>
          <w:rFonts w:asciiTheme="majorHAnsi" w:hAnsiTheme="majorHAnsi"/>
          <w:sz w:val="20"/>
          <w:szCs w:val="20"/>
        </w:rPr>
        <w:t xml:space="preserve"> angibt, wo in der Realität der inneren Dynamik häufig </w:t>
      </w:r>
      <w:r w:rsidRPr="00560611">
        <w:rPr>
          <w:rFonts w:asciiTheme="majorHAnsi" w:hAnsiTheme="majorHAnsi"/>
          <w:b/>
          <w:bCs/>
          <w:sz w:val="20"/>
          <w:szCs w:val="20"/>
        </w:rPr>
        <w:t>Gegeneinander</w:t>
      </w:r>
      <w:r w:rsidRPr="00560611">
        <w:rPr>
          <w:rFonts w:asciiTheme="majorHAnsi" w:hAnsiTheme="majorHAnsi"/>
          <w:sz w:val="20"/>
          <w:szCs w:val="20"/>
        </w:rPr>
        <w:t xml:space="preserve"> (Rivalität, Feindseligkeit), </w:t>
      </w:r>
      <w:r w:rsidRPr="00560611">
        <w:rPr>
          <w:rFonts w:asciiTheme="majorHAnsi" w:hAnsiTheme="majorHAnsi"/>
          <w:b/>
          <w:bCs/>
          <w:sz w:val="20"/>
          <w:szCs w:val="20"/>
        </w:rPr>
        <w:t>Durcheinander</w:t>
      </w:r>
      <w:r w:rsidRPr="00560611">
        <w:rPr>
          <w:rFonts w:asciiTheme="majorHAnsi" w:hAnsiTheme="majorHAnsi"/>
          <w:sz w:val="20"/>
          <w:szCs w:val="20"/>
        </w:rPr>
        <w:t xml:space="preserve"> (Mangel an Struktur) und </w:t>
      </w:r>
      <w:r w:rsidRPr="00560611">
        <w:rPr>
          <w:rFonts w:asciiTheme="majorHAnsi" w:hAnsiTheme="majorHAnsi"/>
          <w:b/>
          <w:bCs/>
          <w:sz w:val="20"/>
          <w:szCs w:val="20"/>
        </w:rPr>
        <w:t>Nebeneinanderher</w:t>
      </w:r>
      <w:r w:rsidRPr="00560611">
        <w:rPr>
          <w:rFonts w:asciiTheme="majorHAnsi" w:hAnsiTheme="majorHAnsi"/>
          <w:sz w:val="20"/>
          <w:szCs w:val="20"/>
        </w:rPr>
        <w:t xml:space="preserve"> (Mangel an Kontakt und Koordination) herrscht. (vgl. Schulz v. Thun 1998, S.65) </w:t>
      </w:r>
    </w:p>
    <w:p w14:paraId="184EF881" w14:textId="4042A04D" w:rsidR="00560611" w:rsidRPr="00560611" w:rsidRDefault="00560611" w:rsidP="00560611">
      <w:pPr>
        <w:spacing w:after="0"/>
        <w:jc w:val="both"/>
        <w:rPr>
          <w:rFonts w:asciiTheme="majorHAnsi" w:hAnsiTheme="majorHAnsi"/>
          <w:sz w:val="20"/>
          <w:szCs w:val="20"/>
        </w:rPr>
      </w:pPr>
      <w:r w:rsidRPr="00560611">
        <w:rPr>
          <w:rFonts w:asciiTheme="majorHAnsi" w:hAnsiTheme="majorHAnsi"/>
          <w:sz w:val="20"/>
          <w:szCs w:val="20"/>
        </w:rPr>
        <w:t xml:space="preserve">Zugleich dient das Modell zur </w:t>
      </w:r>
      <w:r w:rsidRPr="00560611">
        <w:rPr>
          <w:rFonts w:asciiTheme="majorHAnsi" w:hAnsiTheme="majorHAnsi"/>
          <w:b/>
          <w:bCs/>
          <w:sz w:val="20"/>
          <w:szCs w:val="20"/>
        </w:rPr>
        <w:t>Selbstklärung</w:t>
      </w:r>
      <w:r w:rsidRPr="00560611">
        <w:rPr>
          <w:rFonts w:asciiTheme="majorHAnsi" w:hAnsiTheme="majorHAnsi"/>
          <w:sz w:val="20"/>
          <w:szCs w:val="20"/>
        </w:rPr>
        <w:t>, wenn "ein uneiniges, zerstrittenes Hin und Her" (Friedemann Schulz von Thun</w:t>
      </w:r>
      <w:r>
        <w:rPr>
          <w:rFonts w:asciiTheme="majorHAnsi" w:hAnsiTheme="majorHAnsi"/>
          <w:sz w:val="20"/>
          <w:szCs w:val="20"/>
        </w:rPr>
        <w:t xml:space="preserve">) </w:t>
      </w:r>
      <w:r w:rsidRPr="00560611">
        <w:rPr>
          <w:rFonts w:asciiTheme="majorHAnsi" w:hAnsiTheme="majorHAnsi"/>
          <w:sz w:val="20"/>
          <w:szCs w:val="20"/>
        </w:rPr>
        <w:t>in einem herrscht und man nach außen (noch) keine klare Position zu einer bestimmten Frage bzw. zu einem bestimmten Problem einnehmen kann.</w:t>
      </w:r>
    </w:p>
    <w:p w14:paraId="23C3F775" w14:textId="369CE845" w:rsidR="00560611" w:rsidRDefault="00560611" w:rsidP="00560611">
      <w:pPr>
        <w:spacing w:after="0"/>
        <w:jc w:val="both"/>
        <w:rPr>
          <w:rFonts w:asciiTheme="majorHAnsi" w:hAnsiTheme="majorHAnsi"/>
          <w:sz w:val="20"/>
          <w:szCs w:val="20"/>
        </w:rPr>
      </w:pPr>
      <w:r w:rsidRPr="00560611">
        <w:rPr>
          <w:rFonts w:asciiTheme="majorHAnsi" w:hAnsiTheme="majorHAnsi"/>
          <w:sz w:val="20"/>
          <w:szCs w:val="20"/>
        </w:rPr>
        <w:t xml:space="preserve">Als Technik zur szenischen Interpretation lässt sich das "Spiel" mit den inneren Stimmen als ein internes Rollengespräch auffassen etwa im Sinne eines Rollenmonologs. </w:t>
      </w:r>
    </w:p>
    <w:p w14:paraId="3C876B92" w14:textId="77777777" w:rsidR="00560611" w:rsidRPr="00560611" w:rsidRDefault="00560611" w:rsidP="00560611">
      <w:pPr>
        <w:spacing w:after="0"/>
        <w:jc w:val="both"/>
        <w:rPr>
          <w:rFonts w:asciiTheme="majorHAnsi" w:hAnsiTheme="majorHAnsi"/>
          <w:sz w:val="20"/>
          <w:szCs w:val="20"/>
        </w:rPr>
      </w:pPr>
    </w:p>
    <w:p w14:paraId="2CB16B0C" w14:textId="323684F9" w:rsidR="00560611" w:rsidRDefault="00560611" w:rsidP="00560611">
      <w:pPr>
        <w:jc w:val="center"/>
        <w:rPr>
          <w:rFonts w:asciiTheme="majorHAnsi" w:hAnsiTheme="majorHAnsi"/>
        </w:rPr>
      </w:pPr>
      <w:r w:rsidRPr="00560611">
        <w:rPr>
          <w:rFonts w:asciiTheme="majorHAnsi" w:hAnsiTheme="majorHAnsi"/>
        </w:rPr>
        <w:drawing>
          <wp:inline distT="0" distB="0" distL="0" distR="0" wp14:anchorId="64E98C07" wp14:editId="705879C6">
            <wp:extent cx="4051005" cy="4532747"/>
            <wp:effectExtent l="0" t="0" r="63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225" cy="4577750"/>
                    </a:xfrm>
                    <a:prstGeom prst="rect">
                      <a:avLst/>
                    </a:prstGeom>
                  </pic:spPr>
                </pic:pic>
              </a:graphicData>
            </a:graphic>
          </wp:inline>
        </w:drawing>
      </w:r>
    </w:p>
    <w:p w14:paraId="7098227D" w14:textId="38DE23CA" w:rsidR="00560611" w:rsidRPr="00560611" w:rsidRDefault="00560611" w:rsidP="00560611">
      <w:pPr>
        <w:spacing w:after="12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lastRenderedPageBreak/>
        <w:t xml:space="preserve">Analyse der Szene III,4 in </w:t>
      </w:r>
      <w:r w:rsidRPr="003430E9">
        <w:rPr>
          <w:rFonts w:asciiTheme="majorHAnsi" w:hAnsiTheme="majorHAnsi"/>
          <w:bCs/>
          <w:color w:val="1F497D" w:themeColor="text2"/>
          <w:sz w:val="28"/>
          <w:szCs w:val="21"/>
        </w:rPr>
        <w:t xml:space="preserve">Schillers Drama </w:t>
      </w:r>
      <w:r w:rsidRPr="003430E9">
        <w:rPr>
          <w:rFonts w:asciiTheme="majorHAnsi" w:hAnsiTheme="majorHAnsi"/>
          <w:bCs/>
          <w:i/>
          <w:iCs/>
          <w:color w:val="1F497D" w:themeColor="text2"/>
          <w:sz w:val="28"/>
          <w:szCs w:val="21"/>
        </w:rPr>
        <w:t>Maria Stuart</w:t>
      </w:r>
      <w:r>
        <w:rPr>
          <w:rFonts w:asciiTheme="majorHAnsi" w:hAnsiTheme="majorHAnsi"/>
          <w:bCs/>
          <w:i/>
          <w:iCs/>
          <w:color w:val="1F497D" w:themeColor="text2"/>
          <w:sz w:val="28"/>
          <w:szCs w:val="21"/>
        </w:rPr>
        <w:br/>
      </w:r>
      <w:r>
        <w:rPr>
          <w:rFonts w:asciiTheme="majorHAnsi" w:hAnsiTheme="majorHAnsi" w:cs="Arial"/>
          <w:b/>
          <w:bCs/>
          <w:color w:val="1F497D" w:themeColor="text2"/>
          <w:kern w:val="32"/>
          <w:sz w:val="32"/>
          <w:szCs w:val="36"/>
        </w:rPr>
        <w:t>Die Begegnung der Königinnen – Maria Stuart</w:t>
      </w:r>
    </w:p>
    <w:bookmarkStart w:id="0" w:name="_MON_1082204979"/>
    <w:bookmarkEnd w:id="0"/>
    <w:bookmarkStart w:id="1" w:name="_MON_1082315837"/>
    <w:bookmarkEnd w:id="1"/>
    <w:p w14:paraId="72845140" w14:textId="77777777" w:rsidR="00C2036C" w:rsidRPr="00BA2BA1" w:rsidRDefault="00201D22" w:rsidP="00C2036C">
      <w:pPr>
        <w:jc w:val="center"/>
        <w:rPr>
          <w:lang w:val="en-US"/>
        </w:rPr>
      </w:pPr>
      <w:r>
        <w:rPr>
          <w:noProof/>
        </w:rPr>
        <w:object w:dxaOrig="6135" w:dyaOrig="8130" w14:anchorId="6F61F3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6.8pt;height:513.2pt;mso-width-percent:0;mso-height-percent:0;mso-width-percent:0;mso-height-percent:0" o:ole="" fillcolor="window">
            <v:imagedata r:id="rId9" o:title=""/>
          </v:shape>
          <o:OLEObject Type="Embed" ProgID="Word.Picture.8" ShapeID="_x0000_i1025" DrawAspect="Content" ObjectID="_1682755424" r:id="rId10"/>
        </w:object>
      </w:r>
    </w:p>
    <w:p w14:paraId="592DF983" w14:textId="77777777" w:rsidR="00C2036C" w:rsidRPr="00C2036C" w:rsidRDefault="00C2036C" w:rsidP="00560611">
      <w:pPr>
        <w:spacing w:after="120"/>
        <w:rPr>
          <w:rFonts w:cstheme="minorHAnsi"/>
          <w:b/>
          <w:sz w:val="21"/>
          <w:szCs w:val="21"/>
        </w:rPr>
      </w:pPr>
      <w:r w:rsidRPr="00C2036C">
        <w:rPr>
          <w:rFonts w:cstheme="minorHAnsi"/>
          <w:b/>
          <w:sz w:val="21"/>
          <w:szCs w:val="21"/>
        </w:rPr>
        <w:t>Arbeitsanregungen:</w:t>
      </w:r>
    </w:p>
    <w:p w14:paraId="53C9FAC5" w14:textId="77777777" w:rsidR="00C2036C" w:rsidRPr="00C2036C" w:rsidRDefault="00C2036C" w:rsidP="00560611">
      <w:pPr>
        <w:spacing w:after="120"/>
        <w:rPr>
          <w:rFonts w:cstheme="minorHAnsi"/>
          <w:sz w:val="21"/>
          <w:szCs w:val="21"/>
        </w:rPr>
      </w:pPr>
      <w:r w:rsidRPr="00C2036C">
        <w:rPr>
          <w:rFonts w:cstheme="minorHAnsi"/>
          <w:sz w:val="21"/>
          <w:szCs w:val="21"/>
        </w:rPr>
        <w:t>Tragen Sie in das Modell alle Stimmen ein, die sich im Innern (inneren Team) Maria Stuarts bei der Begegnung mit Elisabeth melden.</w:t>
      </w:r>
    </w:p>
    <w:p w14:paraId="06A62BCA" w14:textId="77777777" w:rsidR="00C2036C" w:rsidRPr="00C2036C" w:rsidRDefault="00C2036C" w:rsidP="00C2036C">
      <w:pPr>
        <w:numPr>
          <w:ilvl w:val="0"/>
          <w:numId w:val="33"/>
        </w:numPr>
        <w:spacing w:after="0" w:line="240" w:lineRule="auto"/>
        <w:rPr>
          <w:rFonts w:cstheme="minorHAnsi"/>
          <w:sz w:val="21"/>
          <w:szCs w:val="21"/>
        </w:rPr>
      </w:pPr>
      <w:r w:rsidRPr="00C2036C">
        <w:rPr>
          <w:rFonts w:cstheme="minorHAnsi"/>
          <w:sz w:val="21"/>
          <w:szCs w:val="21"/>
        </w:rPr>
        <w:t>Formulieren Sie dazu in möglichst kurzer und prägnanter Form, welche Botschaft die jeweilige innere Stimme sendet.</w:t>
      </w:r>
    </w:p>
    <w:p w14:paraId="2FEA9E27" w14:textId="77777777" w:rsidR="00C2036C" w:rsidRPr="00C2036C" w:rsidRDefault="00C2036C" w:rsidP="00C2036C">
      <w:pPr>
        <w:numPr>
          <w:ilvl w:val="0"/>
          <w:numId w:val="33"/>
        </w:numPr>
        <w:spacing w:after="0" w:line="240" w:lineRule="auto"/>
        <w:rPr>
          <w:rFonts w:cstheme="minorHAnsi"/>
          <w:sz w:val="21"/>
          <w:szCs w:val="21"/>
        </w:rPr>
      </w:pPr>
      <w:r w:rsidRPr="00C2036C">
        <w:rPr>
          <w:rFonts w:cstheme="minorHAnsi"/>
          <w:sz w:val="21"/>
          <w:szCs w:val="21"/>
        </w:rPr>
        <w:t>Geben Sie der inneren Stimme einen prägnanten Namen.</w:t>
      </w:r>
    </w:p>
    <w:p w14:paraId="3E1731FE" w14:textId="2BDB960F" w:rsidR="003A71A9" w:rsidRPr="00560611" w:rsidRDefault="00C2036C" w:rsidP="00560611">
      <w:pPr>
        <w:pStyle w:val="Titelzeile"/>
        <w:numPr>
          <w:ilvl w:val="0"/>
          <w:numId w:val="33"/>
        </w:numPr>
        <w:spacing w:before="0"/>
        <w:ind w:left="357" w:hanging="357"/>
        <w:rPr>
          <w:rFonts w:asciiTheme="minorHAnsi" w:hAnsiTheme="minorHAnsi" w:cstheme="minorHAnsi"/>
          <w:sz w:val="21"/>
          <w:szCs w:val="21"/>
        </w:rPr>
      </w:pPr>
      <w:r w:rsidRPr="00C2036C">
        <w:rPr>
          <w:rFonts w:asciiTheme="minorHAnsi" w:hAnsiTheme="minorHAnsi" w:cstheme="minorHAnsi"/>
          <w:sz w:val="21"/>
          <w:szCs w:val="21"/>
        </w:rPr>
        <w:t>Verwenden Sie, wenn Ihnen zu der jeweiligen inneren Stimme etwas einfällt, Symbole und Bilder, die den Wesensgehalt einer bestimmten Stimme verdeutlichen können.</w:t>
      </w:r>
    </w:p>
    <w:sectPr w:rsidR="003A71A9" w:rsidRPr="00560611" w:rsidSect="005D7831">
      <w:headerReference w:type="default" r:id="rId11"/>
      <w:footerReference w:type="default" r:id="rId12"/>
      <w:headerReference w:type="first" r:id="rId13"/>
      <w:footerReference w:type="first" r:id="rId14"/>
      <w:type w:val="continuous"/>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97034" w14:textId="77777777" w:rsidR="00201D22" w:rsidRDefault="00201D22" w:rsidP="0075228E">
      <w:pPr>
        <w:spacing w:after="0" w:line="240" w:lineRule="auto"/>
      </w:pPr>
      <w:r>
        <w:separator/>
      </w:r>
    </w:p>
  </w:endnote>
  <w:endnote w:type="continuationSeparator" w:id="0">
    <w:p w14:paraId="21BE41F3" w14:textId="77777777" w:rsidR="00201D22" w:rsidRDefault="00201D22"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4"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30F41" w14:textId="28FF8622" w:rsidR="00544150" w:rsidRPr="00544150" w:rsidRDefault="00544150" w:rsidP="00544150">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61312" behindDoc="0" locked="0" layoutInCell="1" allowOverlap="1" wp14:anchorId="23B06590" wp14:editId="4134FDF5">
          <wp:simplePos x="0" y="0"/>
          <wp:positionH relativeFrom="column">
            <wp:posOffset>5113655</wp:posOffset>
          </wp:positionH>
          <wp:positionV relativeFrom="paragraph">
            <wp:posOffset>192405</wp:posOffset>
          </wp:positionV>
          <wp:extent cx="571500" cy="215900"/>
          <wp:effectExtent l="0" t="0" r="0" b="0"/>
          <wp:wrapSquare wrapText="bothSides"/>
          <wp:docPr id="8"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w:t>
    </w:r>
    <w:proofErr w:type="gramStart"/>
    <w:r w:rsidRPr="00E43B0D">
      <w:rPr>
        <w:rFonts w:ascii="Cambria" w:hAnsi="Cambria"/>
        <w:sz w:val="16"/>
        <w:szCs w:val="16"/>
      </w:rPr>
      <w:t>Gert  Egle/www.teachsam.de</w:t>
    </w:r>
    <w:proofErr w:type="gramEnd"/>
    <w:r w:rsidRPr="00E43B0D">
      <w:rPr>
        <w:rFonts w:ascii="Cambria" w:hAnsi="Cambria"/>
        <w:sz w:val="16"/>
        <w:szCs w:val="16"/>
      </w:rPr>
      <w:t xml:space="preserv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 xml:space="preserve">Creative </w:t>
      </w:r>
      <w:proofErr w:type="spellStart"/>
      <w:r w:rsidRPr="00E43B0D">
        <w:rPr>
          <w:rStyle w:val="Hyperlink"/>
          <w:rFonts w:ascii="Cambria" w:hAnsi="Cambria" w:cs="Arial"/>
          <w:sz w:val="16"/>
          <w:szCs w:val="16"/>
          <w:u w:val="none"/>
        </w:rPr>
        <w:t>Commons</w:t>
      </w:r>
      <w:proofErr w:type="spellEnd"/>
      <w:r w:rsidRPr="00E43B0D">
        <w:rPr>
          <w:rStyle w:val="Hyperlink"/>
          <w:rFonts w:ascii="Cambria" w:hAnsi="Cambria" w:cs="Arial"/>
          <w:sz w:val="16"/>
          <w:szCs w:val="16"/>
          <w:u w:val="none"/>
        </w:rPr>
        <w:t xml:space="preserve"> Namensnennung - Weitergabe unter gleichen Bedingungen 4.0 International </w:t>
      </w:r>
      <w:proofErr w:type="spellStart"/>
      <w:r w:rsidRPr="00E43B0D">
        <w:rPr>
          <w:rStyle w:val="Hyperlink"/>
          <w:rFonts w:ascii="Cambria" w:hAnsi="Cambria" w:cs="Arial"/>
          <w:sz w:val="16"/>
          <w:szCs w:val="16"/>
          <w:u w:val="none"/>
        </w:rPr>
        <w:t>license</w:t>
      </w:r>
      <w:proofErr w:type="spellEnd"/>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 xml:space="preserve">OER Logo © 2012 </w:t>
    </w:r>
    <w:proofErr w:type="spellStart"/>
    <w:r w:rsidRPr="00E43B0D">
      <w:rPr>
        <w:rFonts w:ascii="Cambria" w:hAnsi="Cambria"/>
        <w:sz w:val="16"/>
        <w:szCs w:val="16"/>
      </w:rPr>
      <w:t>Jonathas</w:t>
    </w:r>
    <w:proofErr w:type="spellEnd"/>
    <w:r w:rsidRPr="00E43B0D">
      <w:rPr>
        <w:rFonts w:ascii="Cambria" w:hAnsi="Cambria"/>
        <w:sz w:val="16"/>
        <w:szCs w:val="16"/>
      </w:rPr>
      <w:t xml:space="preserve"> Mello, </w:t>
    </w:r>
    <w:proofErr w:type="spellStart"/>
    <w:r w:rsidRPr="00E43B0D">
      <w:rPr>
        <w:rFonts w:ascii="Cambria" w:hAnsi="Cambria"/>
        <w:sz w:val="16"/>
        <w:szCs w:val="16"/>
      </w:rPr>
      <w:t>used</w:t>
    </w:r>
    <w:proofErr w:type="spellEnd"/>
    <w:r w:rsidRPr="00E43B0D">
      <w:rPr>
        <w:rFonts w:ascii="Cambria" w:hAnsi="Cambria"/>
        <w:sz w:val="16"/>
        <w:szCs w:val="16"/>
      </w:rPr>
      <w:t xml:space="preserve"> </w:t>
    </w:r>
    <w:proofErr w:type="spellStart"/>
    <w:r w:rsidRPr="00E43B0D">
      <w:rPr>
        <w:rFonts w:ascii="Cambria" w:hAnsi="Cambria"/>
        <w:sz w:val="16"/>
        <w:szCs w:val="16"/>
      </w:rPr>
      <w:t>under</w:t>
    </w:r>
    <w:proofErr w:type="spellEnd"/>
    <w:r w:rsidRPr="00E43B0D">
      <w:rPr>
        <w:rFonts w:ascii="Cambria" w:hAnsi="Cambria"/>
        <w:sz w:val="16"/>
        <w:szCs w:val="16"/>
      </w:rPr>
      <w:t xml:space="preserve"> a Creative </w:t>
    </w:r>
    <w:proofErr w:type="spellStart"/>
    <w:r w:rsidRPr="00E43B0D">
      <w:rPr>
        <w:rFonts w:ascii="Cambria" w:hAnsi="Cambria"/>
        <w:sz w:val="16"/>
        <w:szCs w:val="16"/>
      </w:rPr>
      <w:t>Commons</w:t>
    </w:r>
    <w:proofErr w:type="spellEnd"/>
    <w:r w:rsidRPr="00E43B0D">
      <w:rPr>
        <w:rFonts w:ascii="Cambria" w:hAnsi="Cambria"/>
        <w:sz w:val="16"/>
        <w:szCs w:val="16"/>
      </w:rPr>
      <w:t xml:space="preserve"> </w:t>
    </w:r>
    <w:proofErr w:type="spellStart"/>
    <w:r w:rsidRPr="00E43B0D">
      <w:rPr>
        <w:rFonts w:ascii="Cambria" w:hAnsi="Cambria"/>
        <w:sz w:val="16"/>
        <w:szCs w:val="16"/>
      </w:rPr>
      <w:t>license</w:t>
    </w:r>
    <w:proofErr w:type="spellEnd"/>
    <w:r w:rsidRPr="00E43B0D">
      <w:rPr>
        <w:rFonts w:ascii="Cambria" w:hAnsi="Cambria"/>
        <w:sz w:val="16"/>
        <w:szCs w:val="16"/>
      </w:rPr>
      <w:t xml:space="preserv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71476" w14:textId="77777777" w:rsidR="00201D22" w:rsidRDefault="00201D22" w:rsidP="0075228E">
      <w:pPr>
        <w:spacing w:after="0" w:line="240" w:lineRule="auto"/>
      </w:pPr>
      <w:r>
        <w:separator/>
      </w:r>
    </w:p>
  </w:footnote>
  <w:footnote w:type="continuationSeparator" w:id="0">
    <w:p w14:paraId="00297212" w14:textId="77777777" w:rsidR="00201D22" w:rsidRDefault="00201D22"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3"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2E2B" w14:textId="77777777" w:rsidR="00544150" w:rsidRPr="0006186A" w:rsidRDefault="00544150" w:rsidP="00544150">
    <w:pPr>
      <w:pStyle w:val="Kopfzeile"/>
      <w:ind w:left="1128" w:firstLine="4536"/>
      <w:rPr>
        <w:rFonts w:ascii="Calibri" w:hAnsi="Calibri"/>
      </w:rPr>
    </w:pPr>
    <w:r>
      <w:rPr>
        <w:noProof/>
        <w:lang w:eastAsia="de-DE"/>
      </w:rPr>
      <w:drawing>
        <wp:anchor distT="0" distB="0" distL="114300" distR="114300" simplePos="0" relativeHeight="251663360" behindDoc="0" locked="0" layoutInCell="1" allowOverlap="1" wp14:anchorId="34C7EF2E" wp14:editId="752F7D17">
          <wp:simplePos x="0" y="0"/>
          <wp:positionH relativeFrom="margin">
            <wp:posOffset>4932045</wp:posOffset>
          </wp:positionH>
          <wp:positionV relativeFrom="paragraph">
            <wp:posOffset>-235585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Pr>
        <w:rFonts w:ascii="Calibri" w:hAnsi="Calibri"/>
      </w:rPr>
      <w:t>21</w:t>
    </w:r>
  </w:p>
  <w:p w14:paraId="1011DD4C" w14:textId="77777777" w:rsidR="00544150" w:rsidRPr="00544150" w:rsidRDefault="00544150" w:rsidP="00544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17216"/>
    <w:multiLevelType w:val="hybridMultilevel"/>
    <w:tmpl w:val="0F48BE62"/>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C3CB3"/>
    <w:multiLevelType w:val="hybridMultilevel"/>
    <w:tmpl w:val="ADD8A6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6"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ACC2A2E"/>
    <w:multiLevelType w:val="hybridMultilevel"/>
    <w:tmpl w:val="E5F8DD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415EB1"/>
    <w:multiLevelType w:val="hybridMultilevel"/>
    <w:tmpl w:val="02C6BF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D0467"/>
    <w:multiLevelType w:val="hybridMultilevel"/>
    <w:tmpl w:val="2C1A68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2953506"/>
    <w:multiLevelType w:val="multilevel"/>
    <w:tmpl w:val="EAC6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1"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2"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6D1D94"/>
    <w:multiLevelType w:val="hybridMultilevel"/>
    <w:tmpl w:val="F6468716"/>
    <w:lvl w:ilvl="0" w:tplc="F71A2EC0">
      <w:start w:val="1"/>
      <w:numFmt w:val="bullet"/>
      <w:lvlText w:val=""/>
      <w:lvlJc w:val="left"/>
      <w:pPr>
        <w:tabs>
          <w:tab w:val="num" w:pos="377"/>
        </w:tabs>
        <w:ind w:left="377" w:hanging="377"/>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AC545D"/>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7"/>
  </w:num>
  <w:num w:numId="3">
    <w:abstractNumId w:val="31"/>
  </w:num>
  <w:num w:numId="4">
    <w:abstractNumId w:val="26"/>
  </w:num>
  <w:num w:numId="5">
    <w:abstractNumId w:val="10"/>
  </w:num>
  <w:num w:numId="6">
    <w:abstractNumId w:val="14"/>
  </w:num>
  <w:num w:numId="7">
    <w:abstractNumId w:val="1"/>
  </w:num>
  <w:num w:numId="8">
    <w:abstractNumId w:val="19"/>
  </w:num>
  <w:num w:numId="9">
    <w:abstractNumId w:val="11"/>
  </w:num>
  <w:num w:numId="10">
    <w:abstractNumId w:val="9"/>
  </w:num>
  <w:num w:numId="11">
    <w:abstractNumId w:val="22"/>
  </w:num>
  <w:num w:numId="12">
    <w:abstractNumId w:val="17"/>
  </w:num>
  <w:num w:numId="13">
    <w:abstractNumId w:val="30"/>
  </w:num>
  <w:num w:numId="14">
    <w:abstractNumId w:val="6"/>
  </w:num>
  <w:num w:numId="15">
    <w:abstractNumId w:val="4"/>
  </w:num>
  <w:num w:numId="16">
    <w:abstractNumId w:val="5"/>
  </w:num>
  <w:num w:numId="17">
    <w:abstractNumId w:val="0"/>
  </w:num>
  <w:num w:numId="18">
    <w:abstractNumId w:val="21"/>
  </w:num>
  <w:num w:numId="19">
    <w:abstractNumId w:val="20"/>
  </w:num>
  <w:num w:numId="20">
    <w:abstractNumId w:val="28"/>
  </w:num>
  <w:num w:numId="21">
    <w:abstractNumId w:val="29"/>
  </w:num>
  <w:num w:numId="22">
    <w:abstractNumId w:val="7"/>
  </w:num>
  <w:num w:numId="23">
    <w:abstractNumId w:val="24"/>
  </w:num>
  <w:num w:numId="24">
    <w:abstractNumId w:val="12"/>
  </w:num>
  <w:num w:numId="25">
    <w:abstractNumId w:val="15"/>
  </w:num>
  <w:num w:numId="26">
    <w:abstractNumId w:val="13"/>
  </w:num>
  <w:num w:numId="27">
    <w:abstractNumId w:val="16"/>
  </w:num>
  <w:num w:numId="28">
    <w:abstractNumId w:val="8"/>
  </w:num>
  <w:num w:numId="29">
    <w:abstractNumId w:val="2"/>
  </w:num>
  <w:num w:numId="30">
    <w:abstractNumId w:val="18"/>
  </w:num>
  <w:num w:numId="31">
    <w:abstractNumId w:val="3"/>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0A48D8"/>
    <w:rsid w:val="000B4180"/>
    <w:rsid w:val="001164D0"/>
    <w:rsid w:val="001240D4"/>
    <w:rsid w:val="001273EC"/>
    <w:rsid w:val="001312DB"/>
    <w:rsid w:val="00133035"/>
    <w:rsid w:val="00136B8C"/>
    <w:rsid w:val="001D1037"/>
    <w:rsid w:val="001D3422"/>
    <w:rsid w:val="00201D22"/>
    <w:rsid w:val="00210E49"/>
    <w:rsid w:val="00232A93"/>
    <w:rsid w:val="00235685"/>
    <w:rsid w:val="00241122"/>
    <w:rsid w:val="00264444"/>
    <w:rsid w:val="002D1291"/>
    <w:rsid w:val="00314B2C"/>
    <w:rsid w:val="0034097E"/>
    <w:rsid w:val="003430E9"/>
    <w:rsid w:val="003A71A9"/>
    <w:rsid w:val="003D2C3A"/>
    <w:rsid w:val="00434394"/>
    <w:rsid w:val="004627AF"/>
    <w:rsid w:val="00465F5F"/>
    <w:rsid w:val="004661D0"/>
    <w:rsid w:val="004C54D0"/>
    <w:rsid w:val="004D31B5"/>
    <w:rsid w:val="004D719F"/>
    <w:rsid w:val="004D7567"/>
    <w:rsid w:val="004F3533"/>
    <w:rsid w:val="00530BF6"/>
    <w:rsid w:val="00544150"/>
    <w:rsid w:val="00555E48"/>
    <w:rsid w:val="00560611"/>
    <w:rsid w:val="00566BCB"/>
    <w:rsid w:val="00594BA0"/>
    <w:rsid w:val="005A1B75"/>
    <w:rsid w:val="005C65AC"/>
    <w:rsid w:val="005D404A"/>
    <w:rsid w:val="005D7831"/>
    <w:rsid w:val="006353BA"/>
    <w:rsid w:val="0067622E"/>
    <w:rsid w:val="00696364"/>
    <w:rsid w:val="006C4D7A"/>
    <w:rsid w:val="006C5F8A"/>
    <w:rsid w:val="006E38D6"/>
    <w:rsid w:val="006E733C"/>
    <w:rsid w:val="007008E0"/>
    <w:rsid w:val="00701E7A"/>
    <w:rsid w:val="0075228E"/>
    <w:rsid w:val="007A4BC2"/>
    <w:rsid w:val="007A75CF"/>
    <w:rsid w:val="007E22D6"/>
    <w:rsid w:val="007E75E5"/>
    <w:rsid w:val="00840F45"/>
    <w:rsid w:val="00842472"/>
    <w:rsid w:val="00862D64"/>
    <w:rsid w:val="00871506"/>
    <w:rsid w:val="008E5C89"/>
    <w:rsid w:val="009328BC"/>
    <w:rsid w:val="0098377E"/>
    <w:rsid w:val="0098487F"/>
    <w:rsid w:val="009D5B37"/>
    <w:rsid w:val="00A36996"/>
    <w:rsid w:val="00A604F3"/>
    <w:rsid w:val="00A72CC4"/>
    <w:rsid w:val="00AB54D3"/>
    <w:rsid w:val="00AD2263"/>
    <w:rsid w:val="00B07AF9"/>
    <w:rsid w:val="00B3443B"/>
    <w:rsid w:val="00B44845"/>
    <w:rsid w:val="00B45206"/>
    <w:rsid w:val="00B53DBF"/>
    <w:rsid w:val="00B87CA8"/>
    <w:rsid w:val="00BA2BA1"/>
    <w:rsid w:val="00BB68CF"/>
    <w:rsid w:val="00BF1151"/>
    <w:rsid w:val="00BF50D2"/>
    <w:rsid w:val="00C15A1D"/>
    <w:rsid w:val="00C2036C"/>
    <w:rsid w:val="00C20AF1"/>
    <w:rsid w:val="00C301C4"/>
    <w:rsid w:val="00C62304"/>
    <w:rsid w:val="00C87484"/>
    <w:rsid w:val="00CE5080"/>
    <w:rsid w:val="00D0669A"/>
    <w:rsid w:val="00D26909"/>
    <w:rsid w:val="00D5631A"/>
    <w:rsid w:val="00D7649B"/>
    <w:rsid w:val="00DC1C9C"/>
    <w:rsid w:val="00DC5D2A"/>
    <w:rsid w:val="00DC7038"/>
    <w:rsid w:val="00E0751E"/>
    <w:rsid w:val="00E305BF"/>
    <w:rsid w:val="00E43B0D"/>
    <w:rsid w:val="00E54461"/>
    <w:rsid w:val="00E701B7"/>
    <w:rsid w:val="00E74BF8"/>
    <w:rsid w:val="00E82D61"/>
    <w:rsid w:val="00EA72B5"/>
    <w:rsid w:val="00EB5E0D"/>
    <w:rsid w:val="00ED5F06"/>
    <w:rsid w:val="00EE3641"/>
    <w:rsid w:val="00EE367D"/>
    <w:rsid w:val="00EE3E86"/>
    <w:rsid w:val="00EF4606"/>
    <w:rsid w:val="00F04FF1"/>
    <w:rsid w:val="00F258F6"/>
    <w:rsid w:val="00F32F11"/>
    <w:rsid w:val="00F35C74"/>
    <w:rsid w:val="00F47C87"/>
    <w:rsid w:val="00F500AF"/>
    <w:rsid w:val="00F931C0"/>
    <w:rsid w:val="00FF1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A72CC4"/>
    <w:rPr>
      <w:rFonts w:asciiTheme="minorHAnsi" w:hAnsiTheme="minorHAnsi"/>
      <w:sz w:val="20"/>
    </w:rPr>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 w:type="paragraph" w:styleId="Verzeichnis3">
    <w:name w:val="toc 3"/>
    <w:basedOn w:val="Standard"/>
    <w:next w:val="Standard"/>
    <w:autoRedefine/>
    <w:semiHidden/>
    <w:rsid w:val="00AD2263"/>
    <w:pPr>
      <w:spacing w:after="120" w:line="240" w:lineRule="auto"/>
      <w:ind w:left="480"/>
    </w:pPr>
    <w:rPr>
      <w:rFonts w:ascii="Verdana" w:eastAsia="Times New Roman" w:hAnsi="Verdana" w:cs="Times New Roman"/>
      <w:sz w:val="20"/>
      <w:szCs w:val="24"/>
      <w:lang w:eastAsia="de-DE"/>
    </w:rPr>
  </w:style>
  <w:style w:type="character" w:styleId="NichtaufgelsteErwhnung">
    <w:name w:val="Unresolved Mention"/>
    <w:basedOn w:val="Absatz-Standardschriftart"/>
    <w:uiPriority w:val="99"/>
    <w:semiHidden/>
    <w:unhideWhenUsed/>
    <w:rsid w:val="00BA2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684">
      <w:bodyDiv w:val="1"/>
      <w:marLeft w:val="0"/>
      <w:marRight w:val="0"/>
      <w:marTop w:val="240"/>
      <w:marBottom w:val="240"/>
      <w:divBdr>
        <w:top w:val="none" w:sz="0" w:space="0" w:color="auto"/>
        <w:left w:val="none" w:sz="0" w:space="0" w:color="auto"/>
        <w:bottom w:val="none" w:sz="0" w:space="0" w:color="auto"/>
        <w:right w:val="none" w:sz="0" w:space="0" w:color="auto"/>
      </w:divBdr>
    </w:div>
    <w:div w:id="68120744">
      <w:bodyDiv w:val="1"/>
      <w:marLeft w:val="0"/>
      <w:marRight w:val="0"/>
      <w:marTop w:val="240"/>
      <w:marBottom w:val="240"/>
      <w:divBdr>
        <w:top w:val="none" w:sz="0" w:space="0" w:color="auto"/>
        <w:left w:val="none" w:sz="0" w:space="0" w:color="auto"/>
        <w:bottom w:val="none" w:sz="0" w:space="0" w:color="auto"/>
        <w:right w:val="none" w:sz="0" w:space="0" w:color="auto"/>
      </w:divBdr>
    </w:div>
    <w:div w:id="596065481">
      <w:bodyDiv w:val="1"/>
      <w:marLeft w:val="0"/>
      <w:marRight w:val="0"/>
      <w:marTop w:val="240"/>
      <w:marBottom w:val="240"/>
      <w:divBdr>
        <w:top w:val="none" w:sz="0" w:space="0" w:color="auto"/>
        <w:left w:val="none" w:sz="0" w:space="0" w:color="auto"/>
        <w:bottom w:val="none" w:sz="0" w:space="0" w:color="auto"/>
        <w:right w:val="none" w:sz="0" w:space="0" w:color="auto"/>
      </w:divBdr>
    </w:div>
    <w:div w:id="699011826">
      <w:bodyDiv w:val="1"/>
      <w:marLeft w:val="0"/>
      <w:marRight w:val="0"/>
      <w:marTop w:val="0"/>
      <w:marBottom w:val="0"/>
      <w:divBdr>
        <w:top w:val="none" w:sz="0" w:space="0" w:color="auto"/>
        <w:left w:val="none" w:sz="0" w:space="0" w:color="auto"/>
        <w:bottom w:val="none" w:sz="0" w:space="0" w:color="auto"/>
        <w:right w:val="none" w:sz="0" w:space="0" w:color="auto"/>
      </w:divBdr>
    </w:div>
    <w:div w:id="1555849048">
      <w:bodyDiv w:val="1"/>
      <w:marLeft w:val="0"/>
      <w:marRight w:val="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EF456-A4C8-6641-A57C-803A1CD3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2</cp:revision>
  <cp:lastPrinted>2021-05-17T08:54:00Z</cp:lastPrinted>
  <dcterms:created xsi:type="dcterms:W3CDTF">2021-05-17T09:15:00Z</dcterms:created>
  <dcterms:modified xsi:type="dcterms:W3CDTF">2021-05-17T09:15:00Z</dcterms:modified>
</cp:coreProperties>
</file>