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057F1727" w:rsidR="0067622E" w:rsidRPr="0067622E" w:rsidRDefault="001312DB" w:rsidP="00232A93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Szene 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II</w:t>
      </w:r>
      <w:r w:rsidR="00AD2263">
        <w:rPr>
          <w:rFonts w:asciiTheme="majorHAnsi" w:hAnsiTheme="majorHAnsi"/>
          <w:bCs/>
          <w:color w:val="1F497D" w:themeColor="text2"/>
          <w:sz w:val="28"/>
          <w:szCs w:val="21"/>
        </w:rPr>
        <w:t>I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,</w:t>
      </w:r>
      <w:r w:rsidR="00AD2263">
        <w:rPr>
          <w:rFonts w:asciiTheme="majorHAnsi" w:hAnsiTheme="majorHAnsi"/>
          <w:bCs/>
          <w:color w:val="1F497D" w:themeColor="text2"/>
          <w:sz w:val="28"/>
          <w:szCs w:val="21"/>
        </w:rPr>
        <w:t>1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3A71A9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Aspekte zur Interpretation der Szene</w:t>
      </w:r>
    </w:p>
    <w:p w14:paraId="381FBED3" w14:textId="77777777" w:rsidR="003A71A9" w:rsidRPr="003A71A9" w:rsidRDefault="003A71A9" w:rsidP="003A71A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</w:rPr>
      </w:pPr>
      <w:r w:rsidRPr="003A71A9">
        <w:rPr>
          <w:rFonts w:asciiTheme="majorHAnsi" w:hAnsiTheme="majorHAnsi"/>
        </w:rPr>
        <w:t>Die Art und Weise, wie Maria Stuart die ihr vermeintlich gewährte Gunst sich im Fre</w:t>
      </w:r>
      <w:r w:rsidRPr="003A71A9">
        <w:rPr>
          <w:rFonts w:asciiTheme="majorHAnsi" w:hAnsiTheme="majorHAnsi"/>
        </w:rPr>
        <w:t>i</w:t>
      </w:r>
      <w:r w:rsidRPr="003A71A9">
        <w:rPr>
          <w:rFonts w:asciiTheme="majorHAnsi" w:hAnsiTheme="majorHAnsi"/>
        </w:rPr>
        <w:t>en aufzuhalten interpretiert, bestätigt szenisch das Bild, das Elisabeth gerade von i</w:t>
      </w:r>
      <w:r w:rsidRPr="003A71A9">
        <w:rPr>
          <w:rFonts w:asciiTheme="majorHAnsi" w:hAnsiTheme="majorHAnsi"/>
        </w:rPr>
        <w:t>h</w:t>
      </w:r>
      <w:r w:rsidRPr="003A71A9">
        <w:rPr>
          <w:rFonts w:asciiTheme="majorHAnsi" w:hAnsiTheme="majorHAnsi"/>
        </w:rPr>
        <w:t xml:space="preserve">rer Widersacherin entworfen hat. </w:t>
      </w:r>
      <w:proofErr w:type="gramStart"/>
      <w:r w:rsidRPr="003A71A9">
        <w:rPr>
          <w:rFonts w:asciiTheme="majorHAnsi" w:hAnsiTheme="majorHAnsi"/>
        </w:rPr>
        <w:t>In einer nach langer Haft</w:t>
      </w:r>
      <w:proofErr w:type="gramEnd"/>
      <w:r w:rsidRPr="003A71A9">
        <w:rPr>
          <w:rFonts w:asciiTheme="majorHAnsi" w:hAnsiTheme="majorHAnsi"/>
        </w:rPr>
        <w:t xml:space="preserve"> sicherlich menschlich ve</w:t>
      </w:r>
      <w:r w:rsidRPr="003A71A9">
        <w:rPr>
          <w:rFonts w:asciiTheme="majorHAnsi" w:hAnsiTheme="majorHAnsi"/>
        </w:rPr>
        <w:t>r</w:t>
      </w:r>
      <w:r w:rsidRPr="003A71A9">
        <w:rPr>
          <w:rFonts w:asciiTheme="majorHAnsi" w:hAnsiTheme="majorHAnsi"/>
        </w:rPr>
        <w:t>ständlichen Reaktion versetzt sie die lang vermisste Bewegungsfreiheit in der N</w:t>
      </w:r>
      <w:r w:rsidRPr="003A71A9">
        <w:rPr>
          <w:rFonts w:asciiTheme="majorHAnsi" w:hAnsiTheme="majorHAnsi"/>
        </w:rPr>
        <w:t>a</w:t>
      </w:r>
      <w:r w:rsidRPr="003A71A9">
        <w:rPr>
          <w:rFonts w:asciiTheme="majorHAnsi" w:hAnsiTheme="majorHAnsi"/>
        </w:rPr>
        <w:t xml:space="preserve">tur in eine euphorische Grundstimmung. </w:t>
      </w:r>
    </w:p>
    <w:p w14:paraId="34E87547" w14:textId="77777777" w:rsidR="003A71A9" w:rsidRPr="003A71A9" w:rsidRDefault="003A71A9" w:rsidP="003A71A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</w:rPr>
      </w:pPr>
      <w:r w:rsidRPr="003A71A9">
        <w:rPr>
          <w:rFonts w:asciiTheme="majorHAnsi" w:hAnsiTheme="majorHAnsi"/>
        </w:rPr>
        <w:t>Auf der anderen Seite basiert diese Stimmung auf ihrer Deutung der Situ</w:t>
      </w:r>
      <w:r w:rsidRPr="003A71A9">
        <w:rPr>
          <w:rFonts w:asciiTheme="majorHAnsi" w:hAnsiTheme="majorHAnsi"/>
        </w:rPr>
        <w:t>a</w:t>
      </w:r>
      <w:r w:rsidRPr="003A71A9">
        <w:rPr>
          <w:rFonts w:asciiTheme="majorHAnsi" w:hAnsiTheme="majorHAnsi"/>
        </w:rPr>
        <w:t xml:space="preserve">tion. Sie sieht darin das Werk Leicesters, der ihr damit, von langer Hand geplant, schrittweise wieder zur Freiheit verhelfen wolle. </w:t>
      </w:r>
    </w:p>
    <w:p w14:paraId="54E7E95A" w14:textId="77777777" w:rsidR="003A71A9" w:rsidRPr="003A71A9" w:rsidRDefault="003A71A9" w:rsidP="003A71A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</w:rPr>
      </w:pPr>
      <w:r w:rsidRPr="003A71A9">
        <w:rPr>
          <w:rFonts w:asciiTheme="majorHAnsi" w:hAnsiTheme="majorHAnsi"/>
        </w:rPr>
        <w:t>Das Zusammenwirken beider Faktoren gibt ihrer emotionalen Erregung erst die nöt</w:t>
      </w:r>
      <w:r w:rsidRPr="003A71A9">
        <w:rPr>
          <w:rFonts w:asciiTheme="majorHAnsi" w:hAnsiTheme="majorHAnsi"/>
        </w:rPr>
        <w:t>i</w:t>
      </w:r>
      <w:r w:rsidRPr="003A71A9">
        <w:rPr>
          <w:rFonts w:asciiTheme="majorHAnsi" w:hAnsiTheme="majorHAnsi"/>
        </w:rPr>
        <w:t>ge Motivierung. Mit ihrer durch keinen Einwand Hannas abzuschwächenden Hof</w:t>
      </w:r>
      <w:r w:rsidRPr="003A71A9">
        <w:rPr>
          <w:rFonts w:asciiTheme="majorHAnsi" w:hAnsiTheme="majorHAnsi"/>
        </w:rPr>
        <w:t>f</w:t>
      </w:r>
      <w:r w:rsidRPr="003A71A9">
        <w:rPr>
          <w:rFonts w:asciiTheme="majorHAnsi" w:hAnsiTheme="majorHAnsi"/>
        </w:rPr>
        <w:t xml:space="preserve">nung auf Leicester folgt sie einem Schema mit der sie, </w:t>
      </w:r>
      <w:proofErr w:type="spellStart"/>
      <w:r w:rsidRPr="003A71A9">
        <w:rPr>
          <w:rFonts w:asciiTheme="majorHAnsi" w:hAnsiTheme="majorHAnsi"/>
        </w:rPr>
        <w:t>genau so</w:t>
      </w:r>
      <w:proofErr w:type="spellEnd"/>
      <w:r w:rsidRPr="003A71A9">
        <w:rPr>
          <w:rFonts w:asciiTheme="majorHAnsi" w:hAnsiTheme="majorHAnsi"/>
        </w:rPr>
        <w:t xml:space="preserve"> wie von Elisabeth b</w:t>
      </w:r>
      <w:r w:rsidRPr="003A71A9">
        <w:rPr>
          <w:rFonts w:asciiTheme="majorHAnsi" w:hAnsiTheme="majorHAnsi"/>
        </w:rPr>
        <w:t>e</w:t>
      </w:r>
      <w:r w:rsidRPr="003A71A9">
        <w:rPr>
          <w:rFonts w:asciiTheme="majorHAnsi" w:hAnsiTheme="majorHAnsi"/>
        </w:rPr>
        <w:t>schrieben, Politik zu machen pflegt: mit ihrer weiblichen Ausstra</w:t>
      </w:r>
      <w:r w:rsidRPr="003A71A9">
        <w:rPr>
          <w:rFonts w:asciiTheme="majorHAnsi" w:hAnsiTheme="majorHAnsi"/>
        </w:rPr>
        <w:t>h</w:t>
      </w:r>
      <w:r w:rsidRPr="003A71A9">
        <w:rPr>
          <w:rFonts w:asciiTheme="majorHAnsi" w:hAnsiTheme="majorHAnsi"/>
        </w:rPr>
        <w:t xml:space="preserve">lung. </w:t>
      </w:r>
    </w:p>
    <w:p w14:paraId="5FF00340" w14:textId="77777777" w:rsidR="003A71A9" w:rsidRPr="003A71A9" w:rsidRDefault="003A71A9" w:rsidP="003A71A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</w:rPr>
      </w:pPr>
      <w:r w:rsidRPr="003A71A9">
        <w:rPr>
          <w:rFonts w:asciiTheme="majorHAnsi" w:hAnsiTheme="majorHAnsi"/>
        </w:rPr>
        <w:t>Nach einer ganzen Reihe von Szenen, die sie als scharfsinnige Kritikerin des gegen sie angestrengten Verfahrens gezeigt hat, ist sie in dieser Szene, zumindest vorübe</w:t>
      </w:r>
      <w:r w:rsidRPr="003A71A9">
        <w:rPr>
          <w:rFonts w:asciiTheme="majorHAnsi" w:hAnsiTheme="majorHAnsi"/>
        </w:rPr>
        <w:t>r</w:t>
      </w:r>
      <w:r w:rsidRPr="003A71A9">
        <w:rPr>
          <w:rFonts w:asciiTheme="majorHAnsi" w:hAnsiTheme="majorHAnsi"/>
        </w:rPr>
        <w:t>gehend wieder da angelangt, wo sie in Schottland, aber auch z</w:t>
      </w:r>
      <w:r w:rsidRPr="003A71A9">
        <w:rPr>
          <w:rFonts w:asciiTheme="majorHAnsi" w:hAnsiTheme="majorHAnsi"/>
        </w:rPr>
        <w:t>u</w:t>
      </w:r>
      <w:r w:rsidRPr="003A71A9">
        <w:rPr>
          <w:rFonts w:asciiTheme="majorHAnsi" w:hAnsiTheme="majorHAnsi"/>
        </w:rPr>
        <w:t>mindest der Anklage zufo</w:t>
      </w:r>
      <w:r w:rsidRPr="003A71A9">
        <w:rPr>
          <w:rFonts w:asciiTheme="majorHAnsi" w:hAnsiTheme="majorHAnsi"/>
        </w:rPr>
        <w:t>l</w:t>
      </w:r>
      <w:r w:rsidRPr="003A71A9">
        <w:rPr>
          <w:rFonts w:asciiTheme="majorHAnsi" w:hAnsiTheme="majorHAnsi"/>
        </w:rPr>
        <w:t xml:space="preserve">ge in England auch, begonnen hat. </w:t>
      </w:r>
    </w:p>
    <w:p w14:paraId="15B99B20" w14:textId="77777777" w:rsidR="003A71A9" w:rsidRPr="003A71A9" w:rsidRDefault="003A71A9" w:rsidP="003A71A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</w:rPr>
      </w:pPr>
      <w:r w:rsidRPr="003A71A9">
        <w:rPr>
          <w:rFonts w:asciiTheme="majorHAnsi" w:hAnsiTheme="majorHAnsi"/>
        </w:rPr>
        <w:t>Bemerkenswert dazu der Korrespondenzbezug zu Elisabeth in der vorigen Szene. El</w:t>
      </w:r>
      <w:r w:rsidRPr="003A71A9">
        <w:rPr>
          <w:rFonts w:asciiTheme="majorHAnsi" w:hAnsiTheme="majorHAnsi"/>
        </w:rPr>
        <w:t>i</w:t>
      </w:r>
      <w:r w:rsidRPr="003A71A9">
        <w:rPr>
          <w:rFonts w:asciiTheme="majorHAnsi" w:hAnsiTheme="majorHAnsi"/>
        </w:rPr>
        <w:t>sabeth zeigt sich dort am Ende mit ihrem zärtlichen Blick auf Leicester in ihrer Ro</w:t>
      </w:r>
      <w:r w:rsidRPr="003A71A9">
        <w:rPr>
          <w:rFonts w:asciiTheme="majorHAnsi" w:hAnsiTheme="majorHAnsi"/>
        </w:rPr>
        <w:t>l</w:t>
      </w:r>
      <w:r w:rsidRPr="003A71A9">
        <w:rPr>
          <w:rFonts w:asciiTheme="majorHAnsi" w:hAnsiTheme="majorHAnsi"/>
        </w:rPr>
        <w:t>le als Frau und für Maria gilt in der ersten Szene des 3. Aktes das Gle</w:t>
      </w:r>
      <w:r w:rsidRPr="003A71A9">
        <w:rPr>
          <w:rFonts w:asciiTheme="majorHAnsi" w:hAnsiTheme="majorHAnsi"/>
        </w:rPr>
        <w:t>i</w:t>
      </w:r>
      <w:r w:rsidRPr="003A71A9">
        <w:rPr>
          <w:rFonts w:asciiTheme="majorHAnsi" w:hAnsiTheme="majorHAnsi"/>
        </w:rPr>
        <w:t>che.</w:t>
      </w:r>
    </w:p>
    <w:p w14:paraId="0C80CB2F" w14:textId="77777777" w:rsidR="003A71A9" w:rsidRPr="003A71A9" w:rsidRDefault="003A71A9" w:rsidP="003A71A9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</w:rPr>
      </w:pPr>
      <w:r w:rsidRPr="003A71A9">
        <w:rPr>
          <w:rFonts w:asciiTheme="majorHAnsi" w:hAnsiTheme="majorHAnsi"/>
        </w:rPr>
        <w:t>Die szenische, konzeptuelle Verklammerung des zweiten und des dritten Aktes ist damit besonders gelungen und dramaturgisch wird damit die Begegnung der Königi</w:t>
      </w:r>
      <w:r w:rsidRPr="003A71A9">
        <w:rPr>
          <w:rFonts w:asciiTheme="majorHAnsi" w:hAnsiTheme="majorHAnsi"/>
        </w:rPr>
        <w:t>n</w:t>
      </w:r>
      <w:r w:rsidRPr="003A71A9">
        <w:rPr>
          <w:rFonts w:asciiTheme="majorHAnsi" w:hAnsiTheme="majorHAnsi"/>
        </w:rPr>
        <w:t>nen durch die Fokussierung der Aufmerksamkeit auf die Frauenpe</w:t>
      </w:r>
      <w:r w:rsidRPr="003A71A9">
        <w:rPr>
          <w:rFonts w:asciiTheme="majorHAnsi" w:hAnsiTheme="majorHAnsi"/>
        </w:rPr>
        <w:t>r</w:t>
      </w:r>
      <w:r w:rsidRPr="003A71A9">
        <w:rPr>
          <w:rFonts w:asciiTheme="majorHAnsi" w:hAnsiTheme="majorHAnsi"/>
        </w:rPr>
        <w:t>spektive effektvoll vorb</w:t>
      </w:r>
      <w:r w:rsidRPr="003A71A9">
        <w:rPr>
          <w:rFonts w:asciiTheme="majorHAnsi" w:hAnsiTheme="majorHAnsi"/>
        </w:rPr>
        <w:t>e</w:t>
      </w:r>
      <w:r w:rsidRPr="003A71A9">
        <w:rPr>
          <w:rFonts w:asciiTheme="majorHAnsi" w:hAnsiTheme="majorHAnsi"/>
        </w:rPr>
        <w:t>reitet.</w:t>
      </w:r>
    </w:p>
    <w:bookmarkStart w:id="0" w:name="_MON_1682608748"/>
    <w:bookmarkEnd w:id="0"/>
    <w:p w14:paraId="43FF7229" w14:textId="280DE889" w:rsidR="003A71A9" w:rsidRDefault="004661D0" w:rsidP="003A71A9">
      <w:pPr>
        <w:jc w:val="center"/>
      </w:pPr>
      <w:r>
        <w:rPr>
          <w:noProof/>
        </w:rPr>
        <w:object w:dxaOrig="6580" w:dyaOrig="6980" w14:anchorId="66283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2.35pt;height:278.6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682608956" r:id="rId9"/>
        </w:object>
      </w:r>
    </w:p>
    <w:p w14:paraId="079050E8" w14:textId="6CAD75A5" w:rsidR="00544150" w:rsidRPr="004D31B5" w:rsidRDefault="00544150" w:rsidP="003A71A9">
      <w:pPr>
        <w:pStyle w:val="StandardWeb"/>
        <w:spacing w:before="120" w:beforeAutospacing="0" w:after="12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4D31B5">
        <w:rPr>
          <w:rFonts w:asciiTheme="minorHAnsi" w:hAnsiTheme="minorHAnsi" w:cstheme="minorHAnsi"/>
          <w:b/>
          <w:bCs/>
          <w:sz w:val="21"/>
          <w:szCs w:val="21"/>
        </w:rPr>
        <w:t>Arbeitsanregungen</w:t>
      </w:r>
      <w:r w:rsidRPr="004D31B5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E363DDB" w14:textId="500A8182" w:rsidR="007A75CF" w:rsidRDefault="003A71A9" w:rsidP="003A71A9">
      <w:pPr>
        <w:pStyle w:val="Standard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Nehmen Sie zu den dargestellten Aspekten der Interpretation Stellung und überprüfen Sie diese am Text.</w:t>
      </w:r>
    </w:p>
    <w:p w14:paraId="3E1731FE" w14:textId="65A81068" w:rsidR="003A71A9" w:rsidRPr="003A71A9" w:rsidRDefault="003A71A9" w:rsidP="003A71A9">
      <w:pPr>
        <w:pStyle w:val="Standard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Erläutern Sie die Bedeutung der dargestellten szenischen Verklammerung.</w:t>
      </w:r>
    </w:p>
    <w:sectPr w:rsidR="003A71A9" w:rsidRPr="003A71A9" w:rsidSect="005D78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4EA2" w14:textId="77777777" w:rsidR="004661D0" w:rsidRDefault="004661D0" w:rsidP="0075228E">
      <w:pPr>
        <w:spacing w:after="0" w:line="240" w:lineRule="auto"/>
      </w:pPr>
      <w:r>
        <w:separator/>
      </w:r>
    </w:p>
  </w:endnote>
  <w:endnote w:type="continuationSeparator" w:id="0">
    <w:p w14:paraId="5C0826A4" w14:textId="77777777" w:rsidR="004661D0" w:rsidRDefault="004661D0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C74A" w14:textId="77777777" w:rsidR="004661D0" w:rsidRDefault="004661D0" w:rsidP="0075228E">
      <w:pPr>
        <w:spacing w:after="0" w:line="240" w:lineRule="auto"/>
      </w:pPr>
      <w:r>
        <w:separator/>
      </w:r>
    </w:p>
  </w:footnote>
  <w:footnote w:type="continuationSeparator" w:id="0">
    <w:p w14:paraId="52D5CF67" w14:textId="77777777" w:rsidR="004661D0" w:rsidRDefault="004661D0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6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6"/>
  </w:num>
  <w:num w:numId="5">
    <w:abstractNumId w:val="10"/>
  </w:num>
  <w:num w:numId="6">
    <w:abstractNumId w:val="14"/>
  </w:num>
  <w:num w:numId="7">
    <w:abstractNumId w:val="1"/>
  </w:num>
  <w:num w:numId="8">
    <w:abstractNumId w:val="19"/>
  </w:num>
  <w:num w:numId="9">
    <w:abstractNumId w:val="11"/>
  </w:num>
  <w:num w:numId="10">
    <w:abstractNumId w:val="9"/>
  </w:num>
  <w:num w:numId="11">
    <w:abstractNumId w:val="22"/>
  </w:num>
  <w:num w:numId="12">
    <w:abstractNumId w:val="17"/>
  </w:num>
  <w:num w:numId="13">
    <w:abstractNumId w:val="30"/>
  </w:num>
  <w:num w:numId="14">
    <w:abstractNumId w:val="6"/>
  </w:num>
  <w:num w:numId="15">
    <w:abstractNumId w:val="4"/>
  </w:num>
  <w:num w:numId="16">
    <w:abstractNumId w:val="5"/>
  </w:num>
  <w:num w:numId="17">
    <w:abstractNumId w:val="0"/>
  </w:num>
  <w:num w:numId="18">
    <w:abstractNumId w:val="21"/>
  </w:num>
  <w:num w:numId="19">
    <w:abstractNumId w:val="20"/>
  </w:num>
  <w:num w:numId="20">
    <w:abstractNumId w:val="28"/>
  </w:num>
  <w:num w:numId="21">
    <w:abstractNumId w:val="29"/>
  </w:num>
  <w:num w:numId="22">
    <w:abstractNumId w:val="7"/>
  </w:num>
  <w:num w:numId="23">
    <w:abstractNumId w:val="24"/>
  </w:num>
  <w:num w:numId="24">
    <w:abstractNumId w:val="12"/>
  </w:num>
  <w:num w:numId="25">
    <w:abstractNumId w:val="15"/>
  </w:num>
  <w:num w:numId="26">
    <w:abstractNumId w:val="13"/>
  </w:num>
  <w:num w:numId="27">
    <w:abstractNumId w:val="16"/>
  </w:num>
  <w:num w:numId="28">
    <w:abstractNumId w:val="8"/>
  </w:num>
  <w:num w:numId="29">
    <w:abstractNumId w:val="2"/>
  </w:num>
  <w:num w:numId="30">
    <w:abstractNumId w:val="18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45878"/>
    <w:rsid w:val="000819DB"/>
    <w:rsid w:val="000A48D8"/>
    <w:rsid w:val="001164D0"/>
    <w:rsid w:val="001240D4"/>
    <w:rsid w:val="001273EC"/>
    <w:rsid w:val="001312DB"/>
    <w:rsid w:val="00133035"/>
    <w:rsid w:val="00136B8C"/>
    <w:rsid w:val="001D1037"/>
    <w:rsid w:val="001D3422"/>
    <w:rsid w:val="00210E49"/>
    <w:rsid w:val="00232A93"/>
    <w:rsid w:val="00235685"/>
    <w:rsid w:val="00241122"/>
    <w:rsid w:val="00264444"/>
    <w:rsid w:val="002D1291"/>
    <w:rsid w:val="00314B2C"/>
    <w:rsid w:val="0034097E"/>
    <w:rsid w:val="003430E9"/>
    <w:rsid w:val="003A71A9"/>
    <w:rsid w:val="003D2C3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44150"/>
    <w:rsid w:val="00555E48"/>
    <w:rsid w:val="00566BCB"/>
    <w:rsid w:val="00594BA0"/>
    <w:rsid w:val="005A1B75"/>
    <w:rsid w:val="005C65AC"/>
    <w:rsid w:val="005D404A"/>
    <w:rsid w:val="005D7831"/>
    <w:rsid w:val="006353BA"/>
    <w:rsid w:val="0067622E"/>
    <w:rsid w:val="00696364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9D5B37"/>
    <w:rsid w:val="00A36996"/>
    <w:rsid w:val="00A604F3"/>
    <w:rsid w:val="00A72CC4"/>
    <w:rsid w:val="00AB54D3"/>
    <w:rsid w:val="00AD2263"/>
    <w:rsid w:val="00B07AF9"/>
    <w:rsid w:val="00B3443B"/>
    <w:rsid w:val="00B44845"/>
    <w:rsid w:val="00B45206"/>
    <w:rsid w:val="00B53DBF"/>
    <w:rsid w:val="00B87CA8"/>
    <w:rsid w:val="00BB68CF"/>
    <w:rsid w:val="00BF1151"/>
    <w:rsid w:val="00BF50D2"/>
    <w:rsid w:val="00C15A1D"/>
    <w:rsid w:val="00C20AF1"/>
    <w:rsid w:val="00C301C4"/>
    <w:rsid w:val="00C62304"/>
    <w:rsid w:val="00C87484"/>
    <w:rsid w:val="00CE5080"/>
    <w:rsid w:val="00D0669A"/>
    <w:rsid w:val="00D26909"/>
    <w:rsid w:val="00D5631A"/>
    <w:rsid w:val="00D7649B"/>
    <w:rsid w:val="00DC1C9C"/>
    <w:rsid w:val="00DC5D2A"/>
    <w:rsid w:val="00DC7038"/>
    <w:rsid w:val="00E0751E"/>
    <w:rsid w:val="00E305BF"/>
    <w:rsid w:val="00E43B0D"/>
    <w:rsid w:val="00E54461"/>
    <w:rsid w:val="00E701B7"/>
    <w:rsid w:val="00E74BF8"/>
    <w:rsid w:val="00E82D61"/>
    <w:rsid w:val="00EB5E0D"/>
    <w:rsid w:val="00ED5F06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2021-05-15T16:14:00Z</cp:lastPrinted>
  <dcterms:created xsi:type="dcterms:W3CDTF">2021-05-15T16:35:00Z</dcterms:created>
  <dcterms:modified xsi:type="dcterms:W3CDTF">2021-05-15T16:35:00Z</dcterms:modified>
</cp:coreProperties>
</file>