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B483B" w14:textId="2E89144F" w:rsidR="00225EA5" w:rsidRDefault="005E662F" w:rsidP="0045272E">
      <w:pPr>
        <w:spacing w:after="120"/>
        <w:rPr>
          <w:sz w:val="24"/>
        </w:rPr>
      </w:pPr>
      <w:r w:rsidRPr="005E662F">
        <w:rPr>
          <w:b/>
          <w:sz w:val="32"/>
        </w:rPr>
        <w:t>Interpretationshypothesen zur Figur des Saladin</w:t>
      </w:r>
      <w:r w:rsidR="005F0830">
        <w:rPr>
          <w:b/>
          <w:sz w:val="32"/>
        </w:rPr>
        <w:br/>
      </w:r>
      <w:r>
        <w:rPr>
          <w:sz w:val="24"/>
        </w:rPr>
        <w:t>Was spricht für sie?</w:t>
      </w:r>
    </w:p>
    <w:p w14:paraId="69903843" w14:textId="7D4086D5" w:rsidR="00732267" w:rsidRPr="003132AD" w:rsidRDefault="005E662F" w:rsidP="003132AD">
      <w:r w:rsidRPr="005E662F">
        <w:t xml:space="preserve">Die Figur des </w:t>
      </w:r>
      <w:hyperlink r:id="rId9" w:history="1">
        <w:r w:rsidRPr="005E662F">
          <w:rPr>
            <w:rStyle w:val="Hyperlink"/>
            <w:u w:val="none"/>
          </w:rPr>
          <w:t>Saladin</w:t>
        </w:r>
      </w:hyperlink>
      <w:r w:rsidRPr="005E662F">
        <w:t xml:space="preserve"> in </w:t>
      </w:r>
      <w:hyperlink r:id="rId10" w:history="1">
        <w:r w:rsidRPr="005E662F">
          <w:rPr>
            <w:rStyle w:val="Hyperlink"/>
            <w:u w:val="none"/>
          </w:rPr>
          <w:t>Lessings</w:t>
        </w:r>
      </w:hyperlink>
      <w:r w:rsidRPr="005E662F">
        <w:t xml:space="preserve"> Drama »</w:t>
      </w:r>
      <w:hyperlink r:id="rId11" w:history="1">
        <w:r w:rsidRPr="005E662F">
          <w:rPr>
            <w:rStyle w:val="Hyperlink"/>
            <w:u w:val="none"/>
          </w:rPr>
          <w:t>Nathan der Weise</w:t>
        </w:r>
      </w:hyperlink>
      <w:r w:rsidRPr="005E662F">
        <w:t xml:space="preserve">« ist von vielen Seiten her betrachtet worden. Eine kleine </w:t>
      </w:r>
      <w:r w:rsidRPr="005E662F">
        <w:rPr>
          <w:b/>
          <w:bCs/>
        </w:rPr>
        <w:t xml:space="preserve">Auswahl von Interpretationsthesen </w:t>
      </w:r>
      <w:r w:rsidRPr="005E662F">
        <w:t>soll zur Auseinandersetzung anregen</w:t>
      </w:r>
      <w:r>
        <w:t>.</w:t>
      </w:r>
      <w:r w:rsidR="006B5BBF">
        <w:br/>
      </w:r>
    </w:p>
    <w:p w14:paraId="6EF7507E" w14:textId="77777777" w:rsidR="0068413E" w:rsidRPr="0045272E" w:rsidRDefault="0068413E" w:rsidP="00225EA5">
      <w:pPr>
        <w:spacing w:after="120"/>
        <w:rPr>
          <w:b/>
          <w:sz w:val="10"/>
        </w:rPr>
        <w:sectPr w:rsidR="0068413E" w:rsidRPr="0045272E" w:rsidSect="00CC1B00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6840" w:h="11900" w:orient="landscape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14133" w:type="dxa"/>
        <w:tblLook w:val="04A0" w:firstRow="1" w:lastRow="0" w:firstColumn="1" w:lastColumn="0" w:noHBand="0" w:noVBand="1"/>
      </w:tblPr>
      <w:tblGrid>
        <w:gridCol w:w="448"/>
        <w:gridCol w:w="5416"/>
        <w:gridCol w:w="1332"/>
        <w:gridCol w:w="6916"/>
        <w:gridCol w:w="21"/>
      </w:tblGrid>
      <w:tr w:rsidR="00CC1B00" w:rsidRPr="00ED7185" w14:paraId="2DB1C3FA" w14:textId="77777777" w:rsidTr="001822E9">
        <w:trPr>
          <w:gridAfter w:val="1"/>
          <w:wAfter w:w="21" w:type="dxa"/>
          <w:trHeight w:val="624"/>
        </w:trPr>
        <w:tc>
          <w:tcPr>
            <w:tcW w:w="448" w:type="dxa"/>
            <w:vAlign w:val="center"/>
          </w:tcPr>
          <w:p w14:paraId="1356698B" w14:textId="77777777" w:rsidR="006B5BBF" w:rsidRPr="00ED7185" w:rsidRDefault="006B5BBF" w:rsidP="00CD0510">
            <w:pPr>
              <w:jc w:val="center"/>
              <w:rPr>
                <w:rFonts w:asciiTheme="majorHAnsi" w:hAnsiTheme="majorHAnsi"/>
                <w:sz w:val="22"/>
              </w:rPr>
            </w:pPr>
            <w:bookmarkStart w:id="0" w:name="_MON_1072716589"/>
            <w:bookmarkStart w:id="1" w:name="_MON_1072717554"/>
            <w:bookmarkStart w:id="2" w:name="_MON_1076167455"/>
            <w:bookmarkEnd w:id="0"/>
            <w:bookmarkEnd w:id="1"/>
            <w:bookmarkEnd w:id="2"/>
          </w:p>
        </w:tc>
        <w:tc>
          <w:tcPr>
            <w:tcW w:w="5416" w:type="dxa"/>
            <w:vAlign w:val="center"/>
          </w:tcPr>
          <w:p w14:paraId="7B68A6A8" w14:textId="289F60A6" w:rsidR="006B5BBF" w:rsidRPr="00ED7185" w:rsidRDefault="006B5BBF" w:rsidP="006B5B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Interpretationshypothese</w:t>
            </w:r>
          </w:p>
        </w:tc>
        <w:tc>
          <w:tcPr>
            <w:tcW w:w="1332" w:type="dxa"/>
            <w:vAlign w:val="center"/>
          </w:tcPr>
          <w:p w14:paraId="751BB36A" w14:textId="2A618CF0" w:rsidR="006B5BBF" w:rsidRPr="00ED7185" w:rsidRDefault="006B5BBF" w:rsidP="00CD0510">
            <w:pPr>
              <w:jc w:val="center"/>
              <w:rPr>
                <w:rFonts w:asciiTheme="majorHAnsi" w:hAnsiTheme="majorHAnsi"/>
                <w:sz w:val="22"/>
              </w:rPr>
            </w:pPr>
            <w:r w:rsidRPr="00ED7185">
              <w:rPr>
                <w:rFonts w:asciiTheme="majorHAnsi" w:hAnsiTheme="majorHAnsi"/>
                <w:sz w:val="22"/>
              </w:rPr>
              <w:t>Grad der Zustimmung</w:t>
            </w:r>
          </w:p>
        </w:tc>
        <w:tc>
          <w:tcPr>
            <w:tcW w:w="6916" w:type="dxa"/>
            <w:vAlign w:val="center"/>
          </w:tcPr>
          <w:p w14:paraId="42BED302" w14:textId="61319A0E" w:rsidR="006B5BBF" w:rsidRPr="00ED7185" w:rsidRDefault="006B5BBF" w:rsidP="00CD0510">
            <w:pPr>
              <w:jc w:val="center"/>
              <w:rPr>
                <w:rFonts w:asciiTheme="majorHAnsi" w:hAnsiTheme="majorHAnsi"/>
                <w:sz w:val="22"/>
              </w:rPr>
            </w:pPr>
            <w:r w:rsidRPr="00ED7185">
              <w:rPr>
                <w:rFonts w:asciiTheme="majorHAnsi" w:hAnsiTheme="majorHAnsi"/>
                <w:sz w:val="22"/>
              </w:rPr>
              <w:t>Notizen zur Begründung</w:t>
            </w:r>
          </w:p>
        </w:tc>
      </w:tr>
      <w:tr w:rsidR="00CC1B00" w14:paraId="578004A9" w14:textId="77777777" w:rsidTr="001822E9">
        <w:trPr>
          <w:gridAfter w:val="1"/>
          <w:wAfter w:w="21" w:type="dxa"/>
          <w:trHeight w:val="1304"/>
        </w:trPr>
        <w:tc>
          <w:tcPr>
            <w:tcW w:w="448" w:type="dxa"/>
            <w:vAlign w:val="center"/>
          </w:tcPr>
          <w:p w14:paraId="39DCCA5A" w14:textId="489F3F52" w:rsidR="006B5BBF" w:rsidRDefault="006B5BBF" w:rsidP="00CD0510">
            <w:pPr>
              <w:jc w:val="center"/>
            </w:pPr>
            <w:r>
              <w:t>1</w:t>
            </w:r>
          </w:p>
        </w:tc>
        <w:tc>
          <w:tcPr>
            <w:tcW w:w="5416" w:type="dxa"/>
            <w:vAlign w:val="center"/>
          </w:tcPr>
          <w:p w14:paraId="209A69BE" w14:textId="59BEF0E0" w:rsidR="006B5BBF" w:rsidRDefault="006B5BBF" w:rsidP="006B5BBF">
            <w:r>
              <w:t>Humanität und Toleranz sind die herausragenden Chara</w:t>
            </w:r>
            <w:r>
              <w:t>k</w:t>
            </w:r>
            <w:r>
              <w:t>tereigenschaften Saladins.</w:t>
            </w:r>
          </w:p>
        </w:tc>
        <w:tc>
          <w:tcPr>
            <w:tcW w:w="1332" w:type="dxa"/>
          </w:tcPr>
          <w:p w14:paraId="664BB7C8" w14:textId="78CE6234" w:rsidR="006B5BBF" w:rsidRDefault="006B5BBF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6B5BBF" w14:paraId="06BCC2DD" w14:textId="77777777" w:rsidTr="00B459AA">
              <w:tc>
                <w:tcPr>
                  <w:tcW w:w="395" w:type="dxa"/>
                </w:tcPr>
                <w:p w14:paraId="01D672BD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1AFC7289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61C2BC40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128C4313" w14:textId="77777777" w:rsidR="006B5BBF" w:rsidRDefault="006B5BBF" w:rsidP="00B459AA">
            <w:pPr>
              <w:spacing w:before="120"/>
            </w:pPr>
          </w:p>
        </w:tc>
        <w:tc>
          <w:tcPr>
            <w:tcW w:w="6916" w:type="dxa"/>
            <w:vAlign w:val="center"/>
          </w:tcPr>
          <w:p w14:paraId="29F5D884" w14:textId="77777777" w:rsidR="006B5BBF" w:rsidRDefault="006B5BBF" w:rsidP="006B5BBF"/>
        </w:tc>
      </w:tr>
      <w:tr w:rsidR="00CC1B00" w14:paraId="2081CC08" w14:textId="77777777" w:rsidTr="001822E9">
        <w:trPr>
          <w:gridAfter w:val="1"/>
          <w:wAfter w:w="21" w:type="dxa"/>
          <w:trHeight w:val="1304"/>
        </w:trPr>
        <w:tc>
          <w:tcPr>
            <w:tcW w:w="448" w:type="dxa"/>
            <w:vAlign w:val="center"/>
          </w:tcPr>
          <w:p w14:paraId="17A1845E" w14:textId="5F9B4A26" w:rsidR="006B5BBF" w:rsidRDefault="006B5BBF" w:rsidP="00CD0510">
            <w:pPr>
              <w:jc w:val="center"/>
            </w:pPr>
            <w:r>
              <w:t>2</w:t>
            </w:r>
          </w:p>
        </w:tc>
        <w:tc>
          <w:tcPr>
            <w:tcW w:w="5416" w:type="dxa"/>
            <w:vAlign w:val="center"/>
          </w:tcPr>
          <w:p w14:paraId="05A929D0" w14:textId="1A2C67AC" w:rsidR="006B5BBF" w:rsidRDefault="006B5BBF" w:rsidP="006B5BBF">
            <w:pPr>
              <w:spacing w:before="100" w:beforeAutospacing="1" w:after="120"/>
            </w:pPr>
            <w:r>
              <w:t>Die Gutmüdigkeit Saladins verbindet sich mit einer gefährl</w:t>
            </w:r>
            <w:r>
              <w:t>i</w:t>
            </w:r>
            <w:r>
              <w:t>chen Unbesonnenheit, was ihn klar von Nathan untersche</w:t>
            </w:r>
            <w:r>
              <w:t>i</w:t>
            </w:r>
            <w:r>
              <w:t xml:space="preserve">det.  </w:t>
            </w:r>
            <w:r>
              <w:br/>
              <w:t>(vgl. Große 1987, S.73)</w:t>
            </w:r>
          </w:p>
        </w:tc>
        <w:tc>
          <w:tcPr>
            <w:tcW w:w="1332" w:type="dxa"/>
          </w:tcPr>
          <w:p w14:paraId="2A5FDB39" w14:textId="5ED75372" w:rsidR="006B5BBF" w:rsidRDefault="006B5BBF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6B5BBF" w14:paraId="7BF5CD13" w14:textId="77777777" w:rsidTr="00B459AA">
              <w:tc>
                <w:tcPr>
                  <w:tcW w:w="395" w:type="dxa"/>
                </w:tcPr>
                <w:p w14:paraId="3A69E1B7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0B04F250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57D0AFD1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1FC93E2D" w14:textId="77777777" w:rsidR="006B5BBF" w:rsidRDefault="006B5BBF" w:rsidP="00B459AA">
            <w:pPr>
              <w:spacing w:before="120"/>
            </w:pPr>
          </w:p>
        </w:tc>
        <w:tc>
          <w:tcPr>
            <w:tcW w:w="6916" w:type="dxa"/>
            <w:vAlign w:val="center"/>
          </w:tcPr>
          <w:p w14:paraId="066309F6" w14:textId="77777777" w:rsidR="006B5BBF" w:rsidRDefault="006B5BBF" w:rsidP="00CA4CD8">
            <w:pPr>
              <w:spacing w:before="100" w:beforeAutospacing="1" w:after="120"/>
            </w:pPr>
          </w:p>
        </w:tc>
      </w:tr>
      <w:tr w:rsidR="00CC1B00" w14:paraId="754A5CDD" w14:textId="77777777" w:rsidTr="001822E9">
        <w:trPr>
          <w:gridAfter w:val="1"/>
          <w:wAfter w:w="21" w:type="dxa"/>
          <w:trHeight w:val="1304"/>
        </w:trPr>
        <w:tc>
          <w:tcPr>
            <w:tcW w:w="448" w:type="dxa"/>
            <w:vAlign w:val="center"/>
          </w:tcPr>
          <w:p w14:paraId="2E7D0215" w14:textId="1FA59283" w:rsidR="006B5BBF" w:rsidRDefault="006B5BBF" w:rsidP="00CD0510">
            <w:pPr>
              <w:jc w:val="center"/>
            </w:pPr>
            <w:r>
              <w:t>3</w:t>
            </w:r>
          </w:p>
        </w:tc>
        <w:tc>
          <w:tcPr>
            <w:tcW w:w="5416" w:type="dxa"/>
            <w:vAlign w:val="center"/>
          </w:tcPr>
          <w:p w14:paraId="6A4DF85F" w14:textId="609DAC72" w:rsidR="006B5BBF" w:rsidRDefault="006B5BBF" w:rsidP="006B5BBF">
            <w:pPr>
              <w:spacing w:before="120"/>
            </w:pPr>
            <w:r>
              <w:t>In Saladins Verhalten zeigt sich die Widersprüchlichkeit eines absolutistischen Mo</w:t>
            </w:r>
            <w:r w:rsidR="00CA4CD8">
              <w:t>narchen.</w:t>
            </w:r>
            <w:r>
              <w:br/>
              <w:t>(</w:t>
            </w:r>
            <w:proofErr w:type="spellStart"/>
            <w:r>
              <w:t>vgl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t>Sedding</w:t>
            </w:r>
            <w:proofErr w:type="spellEnd"/>
            <w:r>
              <w:t>, Gerhard, 1992, S.77)</w:t>
            </w:r>
          </w:p>
        </w:tc>
        <w:tc>
          <w:tcPr>
            <w:tcW w:w="1332" w:type="dxa"/>
          </w:tcPr>
          <w:p w14:paraId="0CC5BBCB" w14:textId="45B5CB88" w:rsidR="006B5BBF" w:rsidRDefault="006B5BBF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6B5BBF" w14:paraId="13DA161C" w14:textId="77777777" w:rsidTr="00B459AA">
              <w:tc>
                <w:tcPr>
                  <w:tcW w:w="395" w:type="dxa"/>
                </w:tcPr>
                <w:p w14:paraId="18C21E42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6A0F96B3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7315513A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308EE333" w14:textId="77777777" w:rsidR="006B5BBF" w:rsidRDefault="006B5BBF" w:rsidP="00B459AA">
            <w:pPr>
              <w:spacing w:before="120"/>
            </w:pPr>
          </w:p>
        </w:tc>
        <w:tc>
          <w:tcPr>
            <w:tcW w:w="6916" w:type="dxa"/>
            <w:vAlign w:val="center"/>
          </w:tcPr>
          <w:p w14:paraId="74AEE9C0" w14:textId="671D9FE4" w:rsidR="006B5BBF" w:rsidRDefault="006B5BBF" w:rsidP="00CD0510">
            <w:pPr>
              <w:spacing w:before="100" w:beforeAutospacing="1" w:after="120"/>
            </w:pPr>
          </w:p>
        </w:tc>
      </w:tr>
      <w:tr w:rsidR="00CC1B00" w14:paraId="5473D729" w14:textId="77777777" w:rsidTr="001822E9">
        <w:trPr>
          <w:gridAfter w:val="1"/>
          <w:wAfter w:w="21" w:type="dxa"/>
          <w:trHeight w:val="1304"/>
        </w:trPr>
        <w:tc>
          <w:tcPr>
            <w:tcW w:w="448" w:type="dxa"/>
            <w:vAlign w:val="center"/>
          </w:tcPr>
          <w:p w14:paraId="40D97CB3" w14:textId="45EB2436" w:rsidR="006B5BBF" w:rsidRDefault="006B5BBF" w:rsidP="00CD0510">
            <w:pPr>
              <w:jc w:val="center"/>
            </w:pPr>
            <w:r>
              <w:t>4</w:t>
            </w:r>
          </w:p>
        </w:tc>
        <w:tc>
          <w:tcPr>
            <w:tcW w:w="5416" w:type="dxa"/>
            <w:vAlign w:val="center"/>
          </w:tcPr>
          <w:p w14:paraId="09EF3413" w14:textId="6840AC76" w:rsidR="006B5BBF" w:rsidRDefault="006B5BBF" w:rsidP="006B5BBF">
            <w:pPr>
              <w:spacing w:before="120"/>
            </w:pPr>
            <w:r>
              <w:t xml:space="preserve">"Trotz der persönlichen Integrität Saladins ist sein Regiment vom Makel absolutistischer Willkür gekennzeichnet." </w:t>
            </w:r>
            <w:r>
              <w:br/>
              <w:t>(Barner, Wilfried u.a. (1987, S.322)</w:t>
            </w:r>
          </w:p>
        </w:tc>
        <w:tc>
          <w:tcPr>
            <w:tcW w:w="1332" w:type="dxa"/>
          </w:tcPr>
          <w:p w14:paraId="7291C6F3" w14:textId="4C3E37CB" w:rsidR="006B5BBF" w:rsidRDefault="006B5BBF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6B5BBF" w14:paraId="038BB751" w14:textId="77777777" w:rsidTr="00B459AA">
              <w:tc>
                <w:tcPr>
                  <w:tcW w:w="395" w:type="dxa"/>
                </w:tcPr>
                <w:p w14:paraId="5D8A5601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1F125CA0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1E782E0F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220444F1" w14:textId="77777777" w:rsidR="006B5BBF" w:rsidRDefault="006B5BBF" w:rsidP="00B459AA">
            <w:pPr>
              <w:spacing w:before="120"/>
            </w:pPr>
          </w:p>
        </w:tc>
        <w:tc>
          <w:tcPr>
            <w:tcW w:w="6916" w:type="dxa"/>
            <w:vAlign w:val="center"/>
          </w:tcPr>
          <w:p w14:paraId="18D592F7" w14:textId="75BC1E66" w:rsidR="006B5BBF" w:rsidRDefault="006B5BBF" w:rsidP="00CD0510">
            <w:pPr>
              <w:spacing w:before="100" w:beforeAutospacing="1" w:after="120"/>
            </w:pPr>
          </w:p>
        </w:tc>
      </w:tr>
      <w:tr w:rsidR="001822E9" w14:paraId="1957A03F" w14:textId="77777777" w:rsidTr="001822E9">
        <w:trPr>
          <w:gridAfter w:val="1"/>
          <w:wAfter w:w="21" w:type="dxa"/>
          <w:trHeight w:val="1304"/>
        </w:trPr>
        <w:tc>
          <w:tcPr>
            <w:tcW w:w="448" w:type="dxa"/>
            <w:vAlign w:val="center"/>
          </w:tcPr>
          <w:p w14:paraId="3F593BF5" w14:textId="77777777" w:rsidR="003132AD" w:rsidRDefault="003132AD" w:rsidP="00B459AA">
            <w:pPr>
              <w:jc w:val="center"/>
            </w:pPr>
            <w:r>
              <w:t>5</w:t>
            </w:r>
          </w:p>
        </w:tc>
        <w:tc>
          <w:tcPr>
            <w:tcW w:w="5416" w:type="dxa"/>
            <w:vAlign w:val="center"/>
          </w:tcPr>
          <w:p w14:paraId="5D5DF2E1" w14:textId="77777777" w:rsidR="003132AD" w:rsidRDefault="003132AD" w:rsidP="00B459AA">
            <w:pPr>
              <w:spacing w:before="120"/>
            </w:pPr>
            <w:r>
              <w:t>Saladins Freigiebigkeit auch den christlichen Pilgern gege</w:t>
            </w:r>
            <w:r>
              <w:t>n</w:t>
            </w:r>
            <w:r>
              <w:t>über zeugt von humanen Grundüberzeugungen</w:t>
            </w:r>
          </w:p>
        </w:tc>
        <w:tc>
          <w:tcPr>
            <w:tcW w:w="1332" w:type="dxa"/>
          </w:tcPr>
          <w:p w14:paraId="783B8983" w14:textId="77777777" w:rsidR="003132AD" w:rsidRDefault="003132AD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3132AD" w14:paraId="24F93929" w14:textId="77777777" w:rsidTr="00B459AA">
              <w:tc>
                <w:tcPr>
                  <w:tcW w:w="395" w:type="dxa"/>
                </w:tcPr>
                <w:p w14:paraId="1F175663" w14:textId="77777777" w:rsidR="003132AD" w:rsidRPr="00ED7185" w:rsidRDefault="003132AD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5D59C7BD" w14:textId="77777777" w:rsidR="003132AD" w:rsidRPr="00ED7185" w:rsidRDefault="003132AD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58508B34" w14:textId="77777777" w:rsidR="003132AD" w:rsidRPr="00ED7185" w:rsidRDefault="003132AD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0812A99F" w14:textId="77777777" w:rsidR="003132AD" w:rsidRDefault="003132AD" w:rsidP="00B459AA">
            <w:pPr>
              <w:spacing w:before="120"/>
            </w:pPr>
          </w:p>
        </w:tc>
        <w:tc>
          <w:tcPr>
            <w:tcW w:w="6916" w:type="dxa"/>
            <w:vAlign w:val="center"/>
          </w:tcPr>
          <w:p w14:paraId="4F01F66D" w14:textId="6ACA21DA" w:rsidR="003132AD" w:rsidRDefault="003132AD" w:rsidP="00B459AA"/>
        </w:tc>
      </w:tr>
      <w:tr w:rsidR="00CC1B00" w14:paraId="57A9E50E" w14:textId="77777777" w:rsidTr="001822E9">
        <w:trPr>
          <w:trHeight w:val="1304"/>
        </w:trPr>
        <w:tc>
          <w:tcPr>
            <w:tcW w:w="448" w:type="dxa"/>
            <w:vAlign w:val="center"/>
          </w:tcPr>
          <w:p w14:paraId="17FA4A2F" w14:textId="77777777" w:rsidR="00CC1B00" w:rsidRDefault="00CC1B00" w:rsidP="00B459AA">
            <w:pPr>
              <w:jc w:val="center"/>
            </w:pPr>
            <w:r>
              <w:lastRenderedPageBreak/>
              <w:t>6</w:t>
            </w:r>
          </w:p>
        </w:tc>
        <w:tc>
          <w:tcPr>
            <w:tcW w:w="5416" w:type="dxa"/>
            <w:vAlign w:val="center"/>
          </w:tcPr>
          <w:p w14:paraId="77FCBC0C" w14:textId="77777777" w:rsidR="00CC1B00" w:rsidRDefault="00CC1B00" w:rsidP="00B459AA">
            <w:pPr>
              <w:spacing w:before="120"/>
            </w:pPr>
            <w:r>
              <w:t xml:space="preserve">Der Wunsch Saladins, </w:t>
            </w:r>
            <w:r>
              <w:rPr>
                <w:sz w:val="18"/>
              </w:rPr>
              <w:t>»</w:t>
            </w:r>
            <w:r>
              <w:t>des Höchsten Milde« nachzuahmen, die »</w:t>
            </w:r>
            <w:proofErr w:type="spellStart"/>
            <w:r>
              <w:t>sonder</w:t>
            </w:r>
            <w:proofErr w:type="spellEnd"/>
            <w:r>
              <w:t xml:space="preserve"> Auswahl über Bös' und Gute« sich ergießt, ist eine stupide Nachäfferei des Allerhöchsten ohne des »Höch</w:t>
            </w:r>
            <w:r>
              <w:t>s</w:t>
            </w:r>
            <w:r>
              <w:t xml:space="preserve">ten immer volle Hand«. </w:t>
            </w:r>
            <w:r>
              <w:br/>
              <w:t>(vgl. Große 1987, S.73f.)</w:t>
            </w:r>
          </w:p>
        </w:tc>
        <w:tc>
          <w:tcPr>
            <w:tcW w:w="1332" w:type="dxa"/>
          </w:tcPr>
          <w:p w14:paraId="35C7036F" w14:textId="77777777" w:rsidR="00CC1B00" w:rsidRDefault="00CC1B00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CC1B00" w14:paraId="32E05E68" w14:textId="77777777" w:rsidTr="00B459AA">
              <w:tc>
                <w:tcPr>
                  <w:tcW w:w="395" w:type="dxa"/>
                </w:tcPr>
                <w:p w14:paraId="2EDB8288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362B60A4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39274720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64929611" w14:textId="77777777" w:rsidR="00CC1B00" w:rsidRDefault="00CC1B00" w:rsidP="00B459AA">
            <w:pPr>
              <w:spacing w:before="120"/>
            </w:pPr>
          </w:p>
        </w:tc>
        <w:tc>
          <w:tcPr>
            <w:tcW w:w="6937" w:type="dxa"/>
            <w:gridSpan w:val="2"/>
            <w:vAlign w:val="center"/>
          </w:tcPr>
          <w:p w14:paraId="669405A8" w14:textId="77777777" w:rsidR="00CC1B00" w:rsidRDefault="00CC1B00" w:rsidP="00B459AA">
            <w:pPr>
              <w:spacing w:before="100" w:beforeAutospacing="1" w:after="120"/>
            </w:pPr>
          </w:p>
        </w:tc>
      </w:tr>
      <w:tr w:rsidR="00CC1B00" w14:paraId="73F08B6B" w14:textId="77777777" w:rsidTr="001822E9">
        <w:trPr>
          <w:trHeight w:val="1304"/>
        </w:trPr>
        <w:tc>
          <w:tcPr>
            <w:tcW w:w="448" w:type="dxa"/>
            <w:vAlign w:val="center"/>
          </w:tcPr>
          <w:p w14:paraId="2BC540EC" w14:textId="77777777" w:rsidR="00CC1B00" w:rsidRDefault="00CC1B00" w:rsidP="00B459AA">
            <w:pPr>
              <w:jc w:val="center"/>
            </w:pPr>
            <w:r>
              <w:t>7</w:t>
            </w:r>
          </w:p>
        </w:tc>
        <w:tc>
          <w:tcPr>
            <w:tcW w:w="5416" w:type="dxa"/>
            <w:vAlign w:val="center"/>
          </w:tcPr>
          <w:p w14:paraId="49587AB8" w14:textId="77777777" w:rsidR="00CC1B00" w:rsidRDefault="00CC1B00" w:rsidP="00B459AA">
            <w:pPr>
              <w:spacing w:before="100" w:beforeAutospacing="1" w:after="120"/>
            </w:pPr>
            <w:r>
              <w:t xml:space="preserve">Lessing zeigt den Sultan Saladin weniger als Herrscher, mehr als Privatmann. </w:t>
            </w:r>
            <w:r>
              <w:br/>
              <w:t>(vgl. Große, Wilhelm (1987, S.73)</w:t>
            </w:r>
          </w:p>
          <w:p w14:paraId="6268CEA4" w14:textId="77777777" w:rsidR="00CC1B00" w:rsidRDefault="00CC1B00" w:rsidP="00B459AA">
            <w:pPr>
              <w:spacing w:before="120"/>
            </w:pPr>
          </w:p>
        </w:tc>
        <w:tc>
          <w:tcPr>
            <w:tcW w:w="1332" w:type="dxa"/>
          </w:tcPr>
          <w:p w14:paraId="69CC55B3" w14:textId="77777777" w:rsidR="00CC1B00" w:rsidRDefault="00CC1B00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CC1B00" w14:paraId="2B64AC17" w14:textId="77777777" w:rsidTr="00B459AA">
              <w:tc>
                <w:tcPr>
                  <w:tcW w:w="395" w:type="dxa"/>
                </w:tcPr>
                <w:p w14:paraId="5F0091FC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33ED6835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35C3962A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502AB83C" w14:textId="77777777" w:rsidR="00CC1B00" w:rsidRDefault="00CC1B00" w:rsidP="00B459AA">
            <w:pPr>
              <w:spacing w:before="120"/>
            </w:pPr>
          </w:p>
        </w:tc>
        <w:tc>
          <w:tcPr>
            <w:tcW w:w="6937" w:type="dxa"/>
            <w:gridSpan w:val="2"/>
            <w:vAlign w:val="center"/>
          </w:tcPr>
          <w:p w14:paraId="11EAB363" w14:textId="77777777" w:rsidR="00CC1B00" w:rsidRDefault="00CC1B00" w:rsidP="00B459AA">
            <w:pPr>
              <w:spacing w:before="100" w:beforeAutospacing="1" w:after="120"/>
            </w:pPr>
          </w:p>
        </w:tc>
      </w:tr>
      <w:tr w:rsidR="00CC1B00" w14:paraId="75BEB0B2" w14:textId="77777777" w:rsidTr="001822E9">
        <w:trPr>
          <w:trHeight w:val="1304"/>
        </w:trPr>
        <w:tc>
          <w:tcPr>
            <w:tcW w:w="448" w:type="dxa"/>
            <w:vAlign w:val="center"/>
          </w:tcPr>
          <w:p w14:paraId="6E217963" w14:textId="77777777" w:rsidR="00CC1B00" w:rsidRDefault="00CC1B00" w:rsidP="00B459AA">
            <w:pPr>
              <w:jc w:val="center"/>
            </w:pPr>
            <w:r>
              <w:t>8</w:t>
            </w:r>
          </w:p>
        </w:tc>
        <w:tc>
          <w:tcPr>
            <w:tcW w:w="5416" w:type="dxa"/>
            <w:vAlign w:val="center"/>
          </w:tcPr>
          <w:p w14:paraId="153AAC00" w14:textId="77777777" w:rsidR="00CC1B00" w:rsidRDefault="00CC1B00" w:rsidP="00B459AA">
            <w:pPr>
              <w:spacing w:before="100" w:beforeAutospacing="1" w:after="120"/>
            </w:pPr>
            <w:r>
              <w:t>"Saladin ist ein Fürst, dem der Dichter die edelsten Chara</w:t>
            </w:r>
            <w:r>
              <w:t>k</w:t>
            </w:r>
            <w:r>
              <w:t>terzüge beilegt." (Königs Erläuterungen, 24. Aufl. , S.62)</w:t>
            </w:r>
          </w:p>
          <w:p w14:paraId="06E5382C" w14:textId="77777777" w:rsidR="00CC1B00" w:rsidRDefault="00CC1B00" w:rsidP="00B459AA">
            <w:pPr>
              <w:spacing w:before="120"/>
            </w:pPr>
          </w:p>
        </w:tc>
        <w:tc>
          <w:tcPr>
            <w:tcW w:w="1332" w:type="dxa"/>
          </w:tcPr>
          <w:p w14:paraId="22A89DFE" w14:textId="77777777" w:rsidR="00CC1B00" w:rsidRDefault="00CC1B00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CC1B00" w14:paraId="1BA8D21A" w14:textId="77777777" w:rsidTr="00B459AA">
              <w:tc>
                <w:tcPr>
                  <w:tcW w:w="395" w:type="dxa"/>
                </w:tcPr>
                <w:p w14:paraId="39C1E0FB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5DE0D081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14ABBE1B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3690DD14" w14:textId="77777777" w:rsidR="00CC1B00" w:rsidRDefault="00CC1B00" w:rsidP="00B459AA">
            <w:pPr>
              <w:spacing w:before="120"/>
            </w:pPr>
          </w:p>
        </w:tc>
        <w:tc>
          <w:tcPr>
            <w:tcW w:w="6937" w:type="dxa"/>
            <w:gridSpan w:val="2"/>
            <w:vAlign w:val="center"/>
          </w:tcPr>
          <w:p w14:paraId="6E7E137E" w14:textId="77777777" w:rsidR="00CC1B00" w:rsidRDefault="00CC1B00" w:rsidP="00B459AA">
            <w:pPr>
              <w:spacing w:before="100" w:beforeAutospacing="1" w:after="120"/>
            </w:pPr>
          </w:p>
        </w:tc>
      </w:tr>
      <w:tr w:rsidR="00CC1B00" w14:paraId="6DA163DC" w14:textId="77777777" w:rsidTr="001822E9">
        <w:trPr>
          <w:trHeight w:val="1304"/>
        </w:trPr>
        <w:tc>
          <w:tcPr>
            <w:tcW w:w="448" w:type="dxa"/>
            <w:vAlign w:val="center"/>
          </w:tcPr>
          <w:p w14:paraId="2F8D9A78" w14:textId="72469F6A" w:rsidR="00CC1B00" w:rsidRDefault="00CF63A2" w:rsidP="00B459AA">
            <w:pPr>
              <w:jc w:val="center"/>
            </w:pPr>
            <w:r>
              <w:t>9</w:t>
            </w:r>
            <w:bookmarkStart w:id="3" w:name="_GoBack"/>
            <w:bookmarkEnd w:id="3"/>
          </w:p>
        </w:tc>
        <w:tc>
          <w:tcPr>
            <w:tcW w:w="5416" w:type="dxa"/>
            <w:vAlign w:val="center"/>
          </w:tcPr>
          <w:p w14:paraId="666BC688" w14:textId="77777777" w:rsidR="00CC1B00" w:rsidRDefault="00CC1B00" w:rsidP="001822E9">
            <w:pPr>
              <w:spacing w:before="120" w:after="120"/>
            </w:pPr>
            <w:r>
              <w:t>"Lessing hat aus dem großen Sultan […] eine sympathische, menschliche Gestalt gemacht; zwar erklärt er das Verhalten des Sultans nicht in erster Linie aus den realpolitischen Konstellationen oder aus der Korangläubigkeit dieses Her</w:t>
            </w:r>
            <w:r>
              <w:t>r</w:t>
            </w:r>
            <w:r>
              <w:t>schers, aber er folgt auch nicht den beschönigenden Quellen seines Saladin-Wissens, den Ausführungen Marins und Vo</w:t>
            </w:r>
            <w:r>
              <w:t>l</w:t>
            </w:r>
            <w:r>
              <w:t>taires, die den Sultan zum Idealbild des aufgeklärten Mona</w:t>
            </w:r>
            <w:r>
              <w:t>r</w:t>
            </w:r>
            <w:r>
              <w:t>chen umgestaltet haben.“</w:t>
            </w:r>
            <w:r>
              <w:br/>
              <w:t>(Kröger 1991, S.41)</w:t>
            </w:r>
          </w:p>
        </w:tc>
        <w:tc>
          <w:tcPr>
            <w:tcW w:w="1332" w:type="dxa"/>
          </w:tcPr>
          <w:p w14:paraId="4FAC408C" w14:textId="77777777" w:rsidR="00CC1B00" w:rsidRDefault="00CC1B00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CC1B00" w14:paraId="2D3FF7F7" w14:textId="77777777" w:rsidTr="00B459AA">
              <w:tc>
                <w:tcPr>
                  <w:tcW w:w="395" w:type="dxa"/>
                </w:tcPr>
                <w:p w14:paraId="1E351F57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77001655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5965B0E4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0A18901B" w14:textId="77777777" w:rsidR="00CC1B00" w:rsidRDefault="00CC1B00" w:rsidP="00B459AA">
            <w:pPr>
              <w:spacing w:before="120"/>
            </w:pPr>
          </w:p>
        </w:tc>
        <w:tc>
          <w:tcPr>
            <w:tcW w:w="6937" w:type="dxa"/>
            <w:gridSpan w:val="2"/>
            <w:vAlign w:val="center"/>
          </w:tcPr>
          <w:p w14:paraId="6B5D1953" w14:textId="77777777" w:rsidR="00CC1B00" w:rsidRDefault="00CC1B00" w:rsidP="00B459AA">
            <w:pPr>
              <w:spacing w:before="100" w:beforeAutospacing="1" w:after="120"/>
            </w:pPr>
          </w:p>
        </w:tc>
      </w:tr>
    </w:tbl>
    <w:p w14:paraId="6ED141C9" w14:textId="32427917" w:rsidR="006B5BBF" w:rsidRPr="006B5BBF" w:rsidRDefault="001822E9" w:rsidP="006B5BBF">
      <w:pPr>
        <w:spacing w:before="60"/>
      </w:pPr>
      <w:r>
        <w:br/>
      </w:r>
      <w:r w:rsidR="006B5BBF" w:rsidRPr="006B5BBF">
        <w:t>Quellen:</w:t>
      </w:r>
    </w:p>
    <w:p w14:paraId="637A6548" w14:textId="77777777" w:rsidR="006B5BBF" w:rsidRDefault="006B5BBF" w:rsidP="006B5BBF">
      <w:pPr>
        <w:pStyle w:val="Listenabsatz"/>
        <w:numPr>
          <w:ilvl w:val="0"/>
          <w:numId w:val="40"/>
        </w:numPr>
      </w:pPr>
      <w:r w:rsidRPr="006B5BBF">
        <w:t>Barner, Wilfried, Gunter E. Grimm, Helmuth Kiesel und Martin Kramer (1987): Lessing. Epoche - Werk - Wirkung, 5., neu bearb. Aufl., München: Beck 1987</w:t>
      </w:r>
    </w:p>
    <w:p w14:paraId="55F9DA7F" w14:textId="670D2176" w:rsidR="006B5BBF" w:rsidRDefault="006B5BBF" w:rsidP="006B5BBF">
      <w:pPr>
        <w:pStyle w:val="Listenabsatz"/>
        <w:numPr>
          <w:ilvl w:val="0"/>
          <w:numId w:val="40"/>
        </w:numPr>
      </w:pPr>
      <w:r w:rsidRPr="006B5BBF">
        <w:t>Große, Wilhelm (1987): Stundenblätter - Lessings »Nathan« und die Literatur der Aufklärung, Stuttgart: Klett 1987</w:t>
      </w:r>
    </w:p>
    <w:p w14:paraId="458EC8CA" w14:textId="594C44DA" w:rsidR="00DA32C4" w:rsidRDefault="00DA32C4" w:rsidP="00DA32C4">
      <w:pPr>
        <w:pStyle w:val="Listenabsatz"/>
        <w:numPr>
          <w:ilvl w:val="0"/>
          <w:numId w:val="40"/>
        </w:numPr>
      </w:pPr>
      <w:r w:rsidRPr="00DA32C4">
        <w:t xml:space="preserve">Kröger, Wolfgang (1991/98): Gotthold Ephraim Lessing, Nathan der </w:t>
      </w:r>
      <w:proofErr w:type="gramStart"/>
      <w:r w:rsidRPr="00DA32C4">
        <w:t>Weise ,</w:t>
      </w:r>
      <w:proofErr w:type="gramEnd"/>
      <w:r w:rsidRPr="00DA32C4">
        <w:t xml:space="preserve"> 3., </w:t>
      </w:r>
      <w:proofErr w:type="spellStart"/>
      <w:r w:rsidRPr="00DA32C4">
        <w:t>überarb</w:t>
      </w:r>
      <w:proofErr w:type="spellEnd"/>
      <w:r w:rsidRPr="00DA32C4">
        <w:t xml:space="preserve">. Aufl., München: </w:t>
      </w:r>
      <w:proofErr w:type="spellStart"/>
      <w:r w:rsidRPr="00DA32C4">
        <w:t>Oldenbourg</w:t>
      </w:r>
      <w:proofErr w:type="spellEnd"/>
      <w:r w:rsidRPr="00DA32C4">
        <w:t xml:space="preserve"> 1998 (=</w:t>
      </w:r>
      <w:proofErr w:type="spellStart"/>
      <w:r w:rsidRPr="00DA32C4">
        <w:t>Oldenbourg</w:t>
      </w:r>
      <w:proofErr w:type="spellEnd"/>
      <w:r w:rsidRPr="00DA32C4">
        <w:t xml:space="preserve"> Interpretationen Nr.53)</w:t>
      </w:r>
    </w:p>
    <w:p w14:paraId="6CD5AF2F" w14:textId="41AFF85D" w:rsidR="006B5BBF" w:rsidRPr="006B5BBF" w:rsidRDefault="006B5BBF" w:rsidP="0003382B">
      <w:pPr>
        <w:pStyle w:val="Listenabsatz"/>
        <w:numPr>
          <w:ilvl w:val="0"/>
          <w:numId w:val="40"/>
        </w:numPr>
      </w:pPr>
      <w:proofErr w:type="spellStart"/>
      <w:r w:rsidRPr="006B5BBF">
        <w:t>Sedding</w:t>
      </w:r>
      <w:proofErr w:type="spellEnd"/>
      <w:r w:rsidRPr="006B5BBF">
        <w:t>, Gerhard (1992): Nathan der Weise - Lektürehilfen, 2. Aufl., Stuttgart: Klett 1992</w:t>
      </w:r>
    </w:p>
    <w:p w14:paraId="6F3A9A0B" w14:textId="7ED2A7A4" w:rsidR="00F04920" w:rsidRPr="004E5969" w:rsidRDefault="004E5969" w:rsidP="006B5BBF">
      <w:pPr>
        <w:spacing w:before="60" w:after="60"/>
        <w:rPr>
          <w:rFonts w:asciiTheme="majorHAnsi" w:hAnsiTheme="majorHAnsi"/>
          <w:b/>
        </w:rPr>
      </w:pPr>
      <w:r w:rsidRPr="004E5969">
        <w:rPr>
          <w:rFonts w:asciiTheme="majorHAnsi" w:hAnsiTheme="majorHAnsi"/>
          <w:b/>
        </w:rPr>
        <w:t>Arbeitsanregungen:</w:t>
      </w:r>
    </w:p>
    <w:p w14:paraId="7FF49EE7" w14:textId="77777777" w:rsidR="006B5BBF" w:rsidRDefault="004840E9" w:rsidP="006B5BBF">
      <w:pPr>
        <w:pStyle w:val="StandardWeb"/>
        <w:numPr>
          <w:ilvl w:val="0"/>
          <w:numId w:val="36"/>
        </w:numPr>
        <w:spacing w:before="0" w:beforeAutospacing="0" w:after="0" w:afterAutospacing="0"/>
      </w:pPr>
      <w:hyperlink r:id="rId16" w:anchor="sich%20auseinandersetzen%20mit" w:history="1">
        <w:r w:rsidR="006B5BBF">
          <w:rPr>
            <w:rStyle w:val="Hyperlink"/>
            <w:u w:val="none"/>
          </w:rPr>
          <w:t>Setzen Sie sich</w:t>
        </w:r>
      </w:hyperlink>
      <w:r w:rsidR="006B5BBF">
        <w:t xml:space="preserve"> mit folgenden Thesen zur Interpretation der Figur des </w:t>
      </w:r>
      <w:hyperlink r:id="rId17" w:history="1">
        <w:r w:rsidR="006B5BBF">
          <w:rPr>
            <w:rStyle w:val="Hyperlink"/>
            <w:u w:val="none"/>
          </w:rPr>
          <w:t>Saladin</w:t>
        </w:r>
      </w:hyperlink>
      <w:r w:rsidR="006B5BBF">
        <w:t xml:space="preserve"> </w:t>
      </w:r>
      <w:hyperlink r:id="rId18" w:anchor="sich%20auseinandersetzen%20mit" w:history="1">
        <w:r w:rsidR="006B5BBF">
          <w:rPr>
            <w:rStyle w:val="Hyperlink"/>
            <w:u w:val="none"/>
          </w:rPr>
          <w:t>auseinander</w:t>
        </w:r>
      </w:hyperlink>
      <w:r w:rsidR="006B5BBF">
        <w:t>.</w:t>
      </w:r>
    </w:p>
    <w:p w14:paraId="1A3E7C97" w14:textId="3B8F5EF5" w:rsidR="00BD3233" w:rsidRPr="006B5BBF" w:rsidRDefault="006B5BBF" w:rsidP="00F04920">
      <w:pPr>
        <w:pStyle w:val="StandardWeb"/>
        <w:numPr>
          <w:ilvl w:val="0"/>
          <w:numId w:val="36"/>
        </w:numPr>
        <w:spacing w:before="0" w:beforeAutospacing="0" w:after="0" w:afterAutospacing="0"/>
      </w:pPr>
      <w:r>
        <w:t>Ziehen Sie dazu die entsprechenden Textbelege heran.</w:t>
      </w:r>
    </w:p>
    <w:sectPr w:rsidR="00BD3233" w:rsidRPr="006B5BBF" w:rsidSect="00CC1B00">
      <w:type w:val="continuous"/>
      <w:pgSz w:w="16840" w:h="1190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10BF8989" w:rsidR="00227AF7" w:rsidRPr="009D1C5C" w:rsidRDefault="001822E9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rFonts w:ascii="Cambria" w:hAnsi="Cambria"/>
        <w:sz w:val="16"/>
        <w:szCs w:val="16"/>
      </w:rPr>
      <w:t>©</w:t>
    </w:r>
    <w:r w:rsidR="000D1314"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364B9A8F">
          <wp:simplePos x="0" y="0"/>
          <wp:positionH relativeFrom="column">
            <wp:posOffset>8387715</wp:posOffset>
          </wp:positionH>
          <wp:positionV relativeFrom="paragraph">
            <wp:posOffset>104775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16"/>
        <w:szCs w:val="16"/>
      </w:rPr>
      <w:t xml:space="preserve"> </w:t>
    </w:r>
    <w:r w:rsidR="000D1314" w:rsidRPr="0022746E">
      <w:rPr>
        <w:rFonts w:ascii="Cambria" w:hAnsi="Cambria"/>
        <w:sz w:val="16"/>
        <w:szCs w:val="16"/>
      </w:rPr>
      <w:t>Autor: Gert  Egle/w</w:t>
    </w:r>
    <w:r w:rsidR="000D1314">
      <w:rPr>
        <w:rFonts w:ascii="Cambria" w:hAnsi="Cambria"/>
        <w:sz w:val="16"/>
        <w:szCs w:val="16"/>
      </w:rPr>
      <w:t>w</w:t>
    </w:r>
    <w:r w:rsidR="000D1314" w:rsidRPr="0022746E">
      <w:rPr>
        <w:rFonts w:ascii="Cambria" w:hAnsi="Cambria"/>
        <w:sz w:val="16"/>
        <w:szCs w:val="16"/>
      </w:rPr>
      <w:t xml:space="preserve">w.teachsam.de – </w:t>
    </w:r>
    <w:r w:rsidR="000D1314" w:rsidRPr="0022746E">
      <w:rPr>
        <w:rFonts w:ascii="Cambria" w:hAnsi="Cambria" w:cs="Arial"/>
        <w:sz w:val="16"/>
        <w:szCs w:val="16"/>
      </w:rPr>
      <w:t xml:space="preserve">Dieses </w:t>
    </w:r>
    <w:r>
      <w:rPr>
        <w:rFonts w:ascii="Cambria" w:hAnsi="Cambria" w:cs="Arial"/>
        <w:sz w:val="16"/>
        <w:szCs w:val="16"/>
      </w:rPr>
      <w:t xml:space="preserve">Werk ist lizenziert unter einer </w:t>
    </w:r>
    <w:hyperlink r:id="rId2" w:history="1">
      <w:r w:rsidR="000D1314"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0D1314" w:rsidRPr="0022746E">
      <w:rPr>
        <w:rFonts w:ascii="Cambria" w:hAnsi="Cambria" w:cs="Arial"/>
        <w:sz w:val="16"/>
        <w:szCs w:val="16"/>
      </w:rPr>
      <w:t>.</w:t>
    </w:r>
    <w:r w:rsidR="000D1314" w:rsidRPr="0022746E">
      <w:rPr>
        <w:rFonts w:ascii="Cambria" w:hAnsi="Cambria" w:cs="Helvetica Neue"/>
        <w:sz w:val="16"/>
        <w:szCs w:val="16"/>
      </w:rPr>
      <w:t xml:space="preserve">, CC-BY- SA  -  </w:t>
    </w:r>
    <w:r w:rsidR="000D1314" w:rsidRPr="0022746E">
      <w:rPr>
        <w:rFonts w:ascii="Cambria" w:hAnsi="Cambria" w:cs="Helvetica Neue"/>
        <w:sz w:val="16"/>
        <w:szCs w:val="16"/>
      </w:rPr>
      <w:br/>
    </w:r>
    <w:r w:rsidR="000D1314"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34715518" w:rsidR="00227AF7" w:rsidRPr="009D1C5C" w:rsidRDefault="001822E9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7ADA4ED6">
          <wp:simplePos x="0" y="0"/>
          <wp:positionH relativeFrom="column">
            <wp:posOffset>8399780</wp:posOffset>
          </wp:positionH>
          <wp:positionV relativeFrom="paragraph">
            <wp:posOffset>136525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16"/>
        <w:szCs w:val="16"/>
      </w:rPr>
      <w:t xml:space="preserve">© </w:t>
    </w:r>
    <w:r w:rsidR="0026014A"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="0026014A" w:rsidRPr="0022746E">
      <w:rPr>
        <w:rFonts w:ascii="Cambria" w:hAnsi="Cambria"/>
        <w:sz w:val="16"/>
        <w:szCs w:val="16"/>
      </w:rPr>
      <w:t xml:space="preserve">w.teachsam.de – </w:t>
    </w:r>
    <w:r w:rsidR="0026014A" w:rsidRPr="0022746E">
      <w:rPr>
        <w:rFonts w:ascii="Cambria" w:hAnsi="Cambria" w:cs="Arial"/>
        <w:sz w:val="16"/>
        <w:szCs w:val="16"/>
      </w:rPr>
      <w:t xml:space="preserve">Dieses </w:t>
    </w:r>
    <w:r>
      <w:rPr>
        <w:rFonts w:ascii="Cambria" w:hAnsi="Cambria" w:cs="Arial"/>
        <w:sz w:val="16"/>
        <w:szCs w:val="16"/>
      </w:rPr>
      <w:t xml:space="preserve">Werk ist lizenziert unter einer </w:t>
    </w:r>
    <w:hyperlink r:id="rId2" w:history="1">
      <w:r w:rsidR="0026014A"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26014A" w:rsidRPr="0022746E">
      <w:rPr>
        <w:rFonts w:ascii="Cambria" w:hAnsi="Cambria" w:cs="Arial"/>
        <w:sz w:val="16"/>
        <w:szCs w:val="16"/>
      </w:rPr>
      <w:t>.</w:t>
    </w:r>
    <w:r w:rsidR="0026014A" w:rsidRPr="0022746E">
      <w:rPr>
        <w:rFonts w:ascii="Cambria" w:hAnsi="Cambria" w:cs="Helvetica Neue"/>
        <w:sz w:val="16"/>
        <w:szCs w:val="16"/>
      </w:rPr>
      <w:t xml:space="preserve">, CC-BY- SA  -  </w:t>
    </w:r>
    <w:r w:rsidR="0026014A" w:rsidRPr="0022746E">
      <w:rPr>
        <w:rFonts w:ascii="Cambria" w:hAnsi="Cambria" w:cs="Helvetica Neue"/>
        <w:sz w:val="16"/>
        <w:szCs w:val="16"/>
      </w:rPr>
      <w:br/>
    </w:r>
    <w:r w:rsidR="0026014A"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699CCD27" w:rsidR="001B6478" w:rsidRPr="003B0F77" w:rsidRDefault="00C65A94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5EEA0DB6">
          <wp:simplePos x="0" y="0"/>
          <wp:positionH relativeFrom="column">
            <wp:posOffset>8009255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840E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840E9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7F2C80D5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56972327">
          <wp:simplePos x="0" y="0"/>
          <wp:positionH relativeFrom="column">
            <wp:posOffset>8017510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1822E9"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                     </w:t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F3C94"/>
    <w:multiLevelType w:val="hybridMultilevel"/>
    <w:tmpl w:val="9A5E9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142E70"/>
    <w:multiLevelType w:val="multilevel"/>
    <w:tmpl w:val="6936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5D5F9A"/>
    <w:multiLevelType w:val="hybridMultilevel"/>
    <w:tmpl w:val="F962B00C"/>
    <w:lvl w:ilvl="0" w:tplc="72164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A0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CF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6D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8F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83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21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CA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5334E"/>
    <w:multiLevelType w:val="hybridMultilevel"/>
    <w:tmpl w:val="F962B00C"/>
    <w:lvl w:ilvl="0" w:tplc="72164010">
      <w:start w:val="1"/>
      <w:numFmt w:val="decimal"/>
      <w:lvlText w:val="%1."/>
      <w:lvlJc w:val="left"/>
      <w:pPr>
        <w:tabs>
          <w:tab w:val="num" w:pos="2272"/>
        </w:tabs>
        <w:ind w:left="2272" w:hanging="360"/>
      </w:pPr>
    </w:lvl>
    <w:lvl w:ilvl="1" w:tplc="1E3A0696" w:tentative="1">
      <w:start w:val="1"/>
      <w:numFmt w:val="decimal"/>
      <w:lvlText w:val="%2."/>
      <w:lvlJc w:val="left"/>
      <w:pPr>
        <w:tabs>
          <w:tab w:val="num" w:pos="2992"/>
        </w:tabs>
        <w:ind w:left="2992" w:hanging="360"/>
      </w:pPr>
    </w:lvl>
    <w:lvl w:ilvl="2" w:tplc="1DBCFCE0" w:tentative="1">
      <w:start w:val="1"/>
      <w:numFmt w:val="decimal"/>
      <w:lvlText w:val="%3."/>
      <w:lvlJc w:val="left"/>
      <w:pPr>
        <w:tabs>
          <w:tab w:val="num" w:pos="3712"/>
        </w:tabs>
        <w:ind w:left="3712" w:hanging="360"/>
      </w:pPr>
    </w:lvl>
    <w:lvl w:ilvl="3" w:tplc="B17C979A" w:tentative="1">
      <w:start w:val="1"/>
      <w:numFmt w:val="decimal"/>
      <w:lvlText w:val="%4."/>
      <w:lvlJc w:val="left"/>
      <w:pPr>
        <w:tabs>
          <w:tab w:val="num" w:pos="4432"/>
        </w:tabs>
        <w:ind w:left="4432" w:hanging="360"/>
      </w:pPr>
    </w:lvl>
    <w:lvl w:ilvl="4" w:tplc="5C36DEDE" w:tentative="1">
      <w:start w:val="1"/>
      <w:numFmt w:val="decimal"/>
      <w:lvlText w:val="%5."/>
      <w:lvlJc w:val="left"/>
      <w:pPr>
        <w:tabs>
          <w:tab w:val="num" w:pos="5152"/>
        </w:tabs>
        <w:ind w:left="5152" w:hanging="360"/>
      </w:pPr>
    </w:lvl>
    <w:lvl w:ilvl="5" w:tplc="78E8F3F4" w:tentative="1">
      <w:start w:val="1"/>
      <w:numFmt w:val="decimal"/>
      <w:lvlText w:val="%6."/>
      <w:lvlJc w:val="left"/>
      <w:pPr>
        <w:tabs>
          <w:tab w:val="num" w:pos="5872"/>
        </w:tabs>
        <w:ind w:left="5872" w:hanging="360"/>
      </w:pPr>
    </w:lvl>
    <w:lvl w:ilvl="6" w:tplc="8D383662" w:tentative="1">
      <w:start w:val="1"/>
      <w:numFmt w:val="decimal"/>
      <w:lvlText w:val="%7."/>
      <w:lvlJc w:val="left"/>
      <w:pPr>
        <w:tabs>
          <w:tab w:val="num" w:pos="6592"/>
        </w:tabs>
        <w:ind w:left="6592" w:hanging="360"/>
      </w:pPr>
    </w:lvl>
    <w:lvl w:ilvl="7" w:tplc="A60210FE" w:tentative="1">
      <w:start w:val="1"/>
      <w:numFmt w:val="decimal"/>
      <w:lvlText w:val="%8."/>
      <w:lvlJc w:val="left"/>
      <w:pPr>
        <w:tabs>
          <w:tab w:val="num" w:pos="7312"/>
        </w:tabs>
        <w:ind w:left="7312" w:hanging="360"/>
      </w:pPr>
    </w:lvl>
    <w:lvl w:ilvl="8" w:tplc="5F2CA770" w:tentative="1">
      <w:start w:val="1"/>
      <w:numFmt w:val="decimal"/>
      <w:lvlText w:val="%9."/>
      <w:lvlJc w:val="left"/>
      <w:pPr>
        <w:tabs>
          <w:tab w:val="num" w:pos="8032"/>
        </w:tabs>
        <w:ind w:left="8032" w:hanging="360"/>
      </w:pPr>
    </w:lvl>
  </w:abstractNum>
  <w:abstractNum w:abstractNumId="23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1"/>
  </w:num>
  <w:num w:numId="4">
    <w:abstractNumId w:val="13"/>
  </w:num>
  <w:num w:numId="5">
    <w:abstractNumId w:val="39"/>
  </w:num>
  <w:num w:numId="6">
    <w:abstractNumId w:val="7"/>
  </w:num>
  <w:num w:numId="7">
    <w:abstractNumId w:val="3"/>
  </w:num>
  <w:num w:numId="8">
    <w:abstractNumId w:val="0"/>
  </w:num>
  <w:num w:numId="9">
    <w:abstractNumId w:val="21"/>
  </w:num>
  <w:num w:numId="10">
    <w:abstractNumId w:val="36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38"/>
  </w:num>
  <w:num w:numId="16">
    <w:abstractNumId w:val="26"/>
  </w:num>
  <w:num w:numId="17">
    <w:abstractNumId w:val="16"/>
  </w:num>
  <w:num w:numId="18">
    <w:abstractNumId w:val="40"/>
  </w:num>
  <w:num w:numId="19">
    <w:abstractNumId w:val="32"/>
  </w:num>
  <w:num w:numId="20">
    <w:abstractNumId w:val="35"/>
  </w:num>
  <w:num w:numId="21">
    <w:abstractNumId w:val="34"/>
  </w:num>
  <w:num w:numId="22">
    <w:abstractNumId w:val="37"/>
  </w:num>
  <w:num w:numId="23">
    <w:abstractNumId w:val="29"/>
  </w:num>
  <w:num w:numId="24">
    <w:abstractNumId w:val="14"/>
  </w:num>
  <w:num w:numId="25">
    <w:abstractNumId w:val="2"/>
  </w:num>
  <w:num w:numId="26">
    <w:abstractNumId w:val="33"/>
  </w:num>
  <w:num w:numId="27">
    <w:abstractNumId w:val="20"/>
  </w:num>
  <w:num w:numId="28">
    <w:abstractNumId w:val="18"/>
  </w:num>
  <w:num w:numId="29">
    <w:abstractNumId w:val="12"/>
  </w:num>
  <w:num w:numId="30">
    <w:abstractNumId w:val="28"/>
  </w:num>
  <w:num w:numId="31">
    <w:abstractNumId w:val="17"/>
  </w:num>
  <w:num w:numId="32">
    <w:abstractNumId w:val="30"/>
  </w:num>
  <w:num w:numId="33">
    <w:abstractNumId w:val="4"/>
  </w:num>
  <w:num w:numId="34">
    <w:abstractNumId w:val="23"/>
  </w:num>
  <w:num w:numId="35">
    <w:abstractNumId w:val="19"/>
  </w:num>
  <w:num w:numId="36">
    <w:abstractNumId w:val="25"/>
  </w:num>
  <w:num w:numId="37">
    <w:abstractNumId w:val="9"/>
  </w:num>
  <w:num w:numId="38">
    <w:abstractNumId w:val="22"/>
  </w:num>
  <w:num w:numId="39">
    <w:abstractNumId w:val="15"/>
  </w:num>
  <w:num w:numId="40">
    <w:abstractNumId w:val="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EB0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22E9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16E98"/>
    <w:rsid w:val="00220A3C"/>
    <w:rsid w:val="00225EA5"/>
    <w:rsid w:val="00227AF7"/>
    <w:rsid w:val="002349C6"/>
    <w:rsid w:val="00236BDA"/>
    <w:rsid w:val="002545C9"/>
    <w:rsid w:val="0026014A"/>
    <w:rsid w:val="002B1087"/>
    <w:rsid w:val="002B6817"/>
    <w:rsid w:val="002C3C8E"/>
    <w:rsid w:val="002E01F3"/>
    <w:rsid w:val="002F5B10"/>
    <w:rsid w:val="003016EC"/>
    <w:rsid w:val="00305648"/>
    <w:rsid w:val="003132AD"/>
    <w:rsid w:val="00322803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404476"/>
    <w:rsid w:val="004349E6"/>
    <w:rsid w:val="0045272E"/>
    <w:rsid w:val="004554E9"/>
    <w:rsid w:val="00455B09"/>
    <w:rsid w:val="00462E1E"/>
    <w:rsid w:val="00463E45"/>
    <w:rsid w:val="00473430"/>
    <w:rsid w:val="004840E9"/>
    <w:rsid w:val="004901A3"/>
    <w:rsid w:val="00494071"/>
    <w:rsid w:val="004A0D20"/>
    <w:rsid w:val="004B4583"/>
    <w:rsid w:val="004C3E3F"/>
    <w:rsid w:val="004D72B7"/>
    <w:rsid w:val="004E13D1"/>
    <w:rsid w:val="004E5969"/>
    <w:rsid w:val="005015E4"/>
    <w:rsid w:val="00515909"/>
    <w:rsid w:val="00530B21"/>
    <w:rsid w:val="00542926"/>
    <w:rsid w:val="00542CB3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E662F"/>
    <w:rsid w:val="005F0830"/>
    <w:rsid w:val="005F4234"/>
    <w:rsid w:val="005F72B8"/>
    <w:rsid w:val="00622259"/>
    <w:rsid w:val="00622FA1"/>
    <w:rsid w:val="006238EF"/>
    <w:rsid w:val="006403F3"/>
    <w:rsid w:val="006411D4"/>
    <w:rsid w:val="00643B36"/>
    <w:rsid w:val="00661704"/>
    <w:rsid w:val="006723F1"/>
    <w:rsid w:val="00680E48"/>
    <w:rsid w:val="0068413E"/>
    <w:rsid w:val="006A2167"/>
    <w:rsid w:val="006B5BBF"/>
    <w:rsid w:val="006C033C"/>
    <w:rsid w:val="006C2150"/>
    <w:rsid w:val="006F3164"/>
    <w:rsid w:val="00732267"/>
    <w:rsid w:val="00734E9B"/>
    <w:rsid w:val="0073794C"/>
    <w:rsid w:val="00744BAA"/>
    <w:rsid w:val="007528A3"/>
    <w:rsid w:val="007D295E"/>
    <w:rsid w:val="007D56D8"/>
    <w:rsid w:val="007E2A3B"/>
    <w:rsid w:val="007F7205"/>
    <w:rsid w:val="008220D6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A145A"/>
    <w:rsid w:val="008A7AED"/>
    <w:rsid w:val="008C2E3D"/>
    <w:rsid w:val="008F6F18"/>
    <w:rsid w:val="00913AF8"/>
    <w:rsid w:val="00935348"/>
    <w:rsid w:val="00936D8A"/>
    <w:rsid w:val="0094187E"/>
    <w:rsid w:val="009844D9"/>
    <w:rsid w:val="00987661"/>
    <w:rsid w:val="009A5419"/>
    <w:rsid w:val="009B080D"/>
    <w:rsid w:val="009C263A"/>
    <w:rsid w:val="009C7587"/>
    <w:rsid w:val="009D1C5C"/>
    <w:rsid w:val="009F089C"/>
    <w:rsid w:val="009F10E3"/>
    <w:rsid w:val="00A05BA7"/>
    <w:rsid w:val="00A229B4"/>
    <w:rsid w:val="00A27D10"/>
    <w:rsid w:val="00A44D1F"/>
    <w:rsid w:val="00A76311"/>
    <w:rsid w:val="00A822DE"/>
    <w:rsid w:val="00AA1DDF"/>
    <w:rsid w:val="00AA7AC4"/>
    <w:rsid w:val="00AB43C6"/>
    <w:rsid w:val="00AB4BA4"/>
    <w:rsid w:val="00AF04FA"/>
    <w:rsid w:val="00AF1EE3"/>
    <w:rsid w:val="00AF7544"/>
    <w:rsid w:val="00B11E10"/>
    <w:rsid w:val="00B13E62"/>
    <w:rsid w:val="00B167B5"/>
    <w:rsid w:val="00B543C6"/>
    <w:rsid w:val="00B71AB1"/>
    <w:rsid w:val="00B82725"/>
    <w:rsid w:val="00BB562E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5A94"/>
    <w:rsid w:val="00C67781"/>
    <w:rsid w:val="00C723F8"/>
    <w:rsid w:val="00C733E6"/>
    <w:rsid w:val="00C75987"/>
    <w:rsid w:val="00C83CF3"/>
    <w:rsid w:val="00C921FD"/>
    <w:rsid w:val="00C944F8"/>
    <w:rsid w:val="00CA4CD8"/>
    <w:rsid w:val="00CC1B00"/>
    <w:rsid w:val="00CC32ED"/>
    <w:rsid w:val="00CC7349"/>
    <w:rsid w:val="00CD021C"/>
    <w:rsid w:val="00CD0510"/>
    <w:rsid w:val="00CD097F"/>
    <w:rsid w:val="00CE6589"/>
    <w:rsid w:val="00CF5A18"/>
    <w:rsid w:val="00CF63A2"/>
    <w:rsid w:val="00D20052"/>
    <w:rsid w:val="00D2507C"/>
    <w:rsid w:val="00D256C1"/>
    <w:rsid w:val="00D327EA"/>
    <w:rsid w:val="00D34DBA"/>
    <w:rsid w:val="00D52B25"/>
    <w:rsid w:val="00D66A0F"/>
    <w:rsid w:val="00DA32C4"/>
    <w:rsid w:val="00DA51DD"/>
    <w:rsid w:val="00DB27F2"/>
    <w:rsid w:val="00DB74F7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70432"/>
    <w:rsid w:val="00EA3911"/>
    <w:rsid w:val="00EB370A"/>
    <w:rsid w:val="00EC2549"/>
    <w:rsid w:val="00ED67C9"/>
    <w:rsid w:val="00ED7185"/>
    <w:rsid w:val="00EE2BE8"/>
    <w:rsid w:val="00EF2893"/>
    <w:rsid w:val="00F04920"/>
    <w:rsid w:val="00F0664A"/>
    <w:rsid w:val="00F13694"/>
    <w:rsid w:val="00F300C0"/>
    <w:rsid w:val="00F3736C"/>
    <w:rsid w:val="00F40B9C"/>
    <w:rsid w:val="00F46E2C"/>
    <w:rsid w:val="00F554B4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teachsam.de/arb/operatoren/Operatoren_D/arb_op_d_6_1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teachsam.de/deutsch/d_literatur/d_aut/les/les_dram/les_nathan/les_nathan_8_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sam.de/arb/operatoren/Operatoren_D/arb_op_d_6_1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sam.de/deutsch/d_literatur/d_aut/les/les_dram/les_nathan/les_nathan_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eachsam.de/deutsch/d_literatur/d_aut/les/les_0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achsam.de/deutsch/d_literatur/d_aut/les/les_dram/les_nathan/les_nathan_8_1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24B15-A6FB-4B7D-9B19-AE58C826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10</cp:revision>
  <cp:lastPrinted>2014-04-21T18:02:00Z</cp:lastPrinted>
  <dcterms:created xsi:type="dcterms:W3CDTF">2014-04-21T06:30:00Z</dcterms:created>
  <dcterms:modified xsi:type="dcterms:W3CDTF">2014-04-21T18:02:00Z</dcterms:modified>
</cp:coreProperties>
</file>