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E8060" w14:textId="05C3C08D" w:rsidR="00724DDB" w:rsidRPr="00900D60" w:rsidRDefault="00121500" w:rsidP="00724DDB">
      <w:pPr>
        <w:pStyle w:val="berschrift1"/>
        <w:rPr>
          <w:rFonts w:asciiTheme="minorHAnsi" w:eastAsiaTheme="minorEastAsia" w:hAnsiTheme="minorHAnsi" w:cstheme="minorBidi"/>
          <w:b w:val="0"/>
          <w:bCs w:val="0"/>
          <w:color w:val="auto"/>
          <w:sz w:val="24"/>
          <w:szCs w:val="24"/>
        </w:rPr>
      </w:pPr>
      <w:r>
        <w:rPr>
          <w:rFonts w:asciiTheme="minorHAnsi" w:eastAsiaTheme="minorEastAsia" w:hAnsiTheme="minorHAnsi" w:cstheme="minorBidi"/>
          <w:bCs w:val="0"/>
          <w:color w:val="auto"/>
          <w:sz w:val="32"/>
          <w:szCs w:val="24"/>
        </w:rPr>
        <w:t>Der Sultan im Familienstück</w:t>
      </w:r>
      <w:r>
        <w:rPr>
          <w:rFonts w:asciiTheme="minorHAnsi" w:eastAsiaTheme="minorEastAsia" w:hAnsiTheme="minorHAnsi" w:cstheme="minorBidi"/>
          <w:bCs w:val="0"/>
          <w:color w:val="auto"/>
          <w:sz w:val="32"/>
          <w:szCs w:val="24"/>
        </w:rPr>
        <w:br/>
      </w:r>
      <w:r w:rsidRPr="00121500">
        <w:rPr>
          <w:rFonts w:asciiTheme="minorHAnsi" w:eastAsiaTheme="minorEastAsia" w:hAnsiTheme="minorHAnsi" w:cstheme="minorBidi"/>
          <w:bCs w:val="0"/>
          <w:color w:val="auto"/>
          <w:sz w:val="24"/>
          <w:szCs w:val="24"/>
        </w:rPr>
        <w:t>Anmerkungen zum „Privat-Saladin“ Lessings</w:t>
      </w:r>
      <w:r w:rsidR="00724DDB">
        <w:rPr>
          <w:rFonts w:asciiTheme="minorHAnsi" w:eastAsiaTheme="minorEastAsia" w:hAnsiTheme="minorHAnsi" w:cstheme="minorBidi"/>
          <w:bCs w:val="0"/>
          <w:color w:val="auto"/>
          <w:sz w:val="32"/>
          <w:szCs w:val="24"/>
        </w:rPr>
        <w:br/>
      </w:r>
      <w:r>
        <w:rPr>
          <w:rFonts w:asciiTheme="minorHAnsi" w:eastAsiaTheme="minorEastAsia" w:hAnsiTheme="minorHAnsi" w:cstheme="minorBidi"/>
          <w:b w:val="0"/>
          <w:bCs w:val="0"/>
          <w:color w:val="auto"/>
          <w:sz w:val="24"/>
          <w:szCs w:val="24"/>
        </w:rPr>
        <w:t>Gert Egle (2014)</w:t>
      </w:r>
    </w:p>
    <w:p w14:paraId="69903843" w14:textId="0839958A" w:rsidR="00732267" w:rsidRPr="00DA41CF" w:rsidRDefault="00732267" w:rsidP="00D9387B">
      <w:pPr>
        <w:rPr>
          <w:sz w:val="12"/>
        </w:rPr>
      </w:pPr>
    </w:p>
    <w:p w14:paraId="053D7B57" w14:textId="77777777" w:rsidR="00724DDB" w:rsidRDefault="00724DDB" w:rsidP="00724DDB">
      <w:pPr>
        <w:spacing w:after="60"/>
        <w:ind w:right="1409"/>
        <w:rPr>
          <w:sz w:val="22"/>
          <w:szCs w:val="20"/>
        </w:rPr>
        <w:sectPr w:rsidR="00724DDB" w:rsidSect="004E5969">
          <w:headerReference w:type="even" r:id="rId9"/>
          <w:headerReference w:type="default" r:id="rId10"/>
          <w:footerReference w:type="even" r:id="rId11"/>
          <w:footerReference w:type="default" r:id="rId12"/>
          <w:type w:val="continuous"/>
          <w:pgSz w:w="11900" w:h="16840"/>
          <w:pgMar w:top="1418" w:right="1418" w:bottom="1134" w:left="1418" w:header="709" w:footer="709" w:gutter="0"/>
          <w:cols w:space="708"/>
          <w:docGrid w:linePitch="360"/>
        </w:sectPr>
      </w:pPr>
    </w:p>
    <w:p w14:paraId="178CEC4D" w14:textId="77777777" w:rsidR="00121500" w:rsidRPr="00121500" w:rsidRDefault="00121500" w:rsidP="00BE7731">
      <w:pPr>
        <w:spacing w:after="60"/>
        <w:ind w:right="-8"/>
        <w:rPr>
          <w:szCs w:val="20"/>
        </w:rPr>
      </w:pPr>
      <w:r w:rsidRPr="00121500">
        <w:rPr>
          <w:szCs w:val="20"/>
        </w:rPr>
        <w:lastRenderedPageBreak/>
        <w:t>Die Figur des Saladin, die Lessing in seinem Drama »Nathan der Weise« gestaltet hat, sollte dem historischen »Saladin (1137/1138 -1193) nicht gerecht werden. Und doch blieb Lessing "den geschichtlichen Zügen in großen Strichen treu" und "(griff) nur dort bei der "Folge historischer Ereignisse ein(...), wo die Korrektur einigen dramatischen Nutzen mit sich brachte." (</w:t>
      </w:r>
      <w:proofErr w:type="spellStart"/>
      <w:r w:rsidRPr="00121500">
        <w:rPr>
          <w:szCs w:val="20"/>
        </w:rPr>
        <w:t>Demetz</w:t>
      </w:r>
      <w:proofErr w:type="spellEnd"/>
      <w:r w:rsidRPr="00121500">
        <w:rPr>
          <w:szCs w:val="20"/>
        </w:rPr>
        <w:t xml:space="preserve"> 1984, S.189) So kann man fast den Eindruck gewinnen, "der Dramatiker Lessing bleibe dem geschichtlichen Material treuer, als es der Theoretiker wünschen möchte". (ebd.) Dass Lessing bei der Dramatisierung seines Toleranzthemas auf den Moslem Saladin zurückgegriffen hat, erscheint </w:t>
      </w:r>
      <w:proofErr w:type="spellStart"/>
      <w:r w:rsidRPr="00121500">
        <w:rPr>
          <w:szCs w:val="20"/>
        </w:rPr>
        <w:t>Grotzfeld</w:t>
      </w:r>
      <w:proofErr w:type="spellEnd"/>
      <w:r w:rsidRPr="00121500">
        <w:rPr>
          <w:szCs w:val="20"/>
        </w:rPr>
        <w:t xml:space="preserve"> (1978) nach Lage der Dinge " fast selbstverständlich", auch wenn Saladin in Wahrheit "so orthodox, so</w:t>
      </w:r>
      <w:r w:rsidRPr="00121500">
        <w:rPr>
          <w:rFonts w:hint="eastAsia"/>
          <w:szCs w:val="20"/>
        </w:rPr>
        <w:t xml:space="preserve"> im Islam verhaftet (war), dass er gegen eine andere Religion als solche nicht - (in Lessings Sinn) - tolerant sein und die Christen als eine dem Muslim ebenbürtige Religionsgemeinschaft anerkennen konnte." (</w:t>
      </w:r>
      <w:r w:rsidRPr="00121500">
        <w:rPr>
          <w:rFonts w:hint="eastAsia"/>
          <w:szCs w:val="20"/>
        </w:rPr>
        <w:t>→</w:t>
      </w:r>
      <w:r w:rsidRPr="00121500">
        <w:rPr>
          <w:rFonts w:hint="eastAsia"/>
          <w:szCs w:val="20"/>
        </w:rPr>
        <w:t xml:space="preserve">Egle, Gert (2012): Saladin, der edle </w:t>
      </w:r>
      <w:proofErr w:type="spellStart"/>
      <w:r w:rsidRPr="00121500">
        <w:rPr>
          <w:rFonts w:hint="eastAsia"/>
          <w:szCs w:val="20"/>
        </w:rPr>
        <w:t>Sarazene</w:t>
      </w:r>
      <w:proofErr w:type="spellEnd"/>
      <w:r w:rsidRPr="00121500">
        <w:rPr>
          <w:rFonts w:hint="eastAsia"/>
          <w:szCs w:val="20"/>
        </w:rPr>
        <w:t xml:space="preserve">, </w:t>
      </w:r>
      <w:r w:rsidRPr="00121500">
        <w:rPr>
          <w:szCs w:val="20"/>
        </w:rPr>
        <w:t>und der Kreuzfahrerstaat in Jerusalem)</w:t>
      </w:r>
    </w:p>
    <w:p w14:paraId="14520A03" w14:textId="77777777" w:rsidR="00121500" w:rsidRPr="00121500" w:rsidRDefault="00121500" w:rsidP="00BE7731">
      <w:pPr>
        <w:spacing w:after="60"/>
        <w:ind w:right="-8"/>
        <w:rPr>
          <w:szCs w:val="20"/>
        </w:rPr>
      </w:pPr>
      <w:r w:rsidRPr="00121500">
        <w:rPr>
          <w:szCs w:val="20"/>
        </w:rPr>
        <w:t xml:space="preserve">Dass Lessing auf Saladin zurückgreift, um im Rahmen seines Stückes den »Islam zu verkörpern, dem er eine hohe Wertschätzung entgegenbrachte, lag natürlich auch an dem Material, das ihm insbesondere Francois Louis Claude Marin (1721 - 1809) mit seiner zweibändigen Geschichte der Kreuzzüge lieferte. Das Charakterbild, das Marin entwarf, passte in sein Konzept einer ernsten Komödie und die wesentlichen Charakterzüge des Sultans entsprachen seinen Vorstellungen von den dafür nötigen vermischten Charakteren, also Menschen, die auch Schwächen aufweisen und gerade deshalb zur Identifikation einladen, die er für das </w:t>
      </w:r>
      <w:proofErr w:type="spellStart"/>
      <w:r w:rsidRPr="00121500">
        <w:rPr>
          <w:szCs w:val="20"/>
        </w:rPr>
        <w:t>Bürgerliche</w:t>
      </w:r>
      <w:proofErr w:type="spellEnd"/>
      <w:r w:rsidRPr="00121500">
        <w:rPr>
          <w:szCs w:val="20"/>
        </w:rPr>
        <w:t xml:space="preserve"> Trauerspiel entwickelt hatte. (vgl. (Barner u. a. 1987, S.321ff.)</w:t>
      </w:r>
    </w:p>
    <w:p w14:paraId="2A56C5DF" w14:textId="77777777" w:rsidR="00121500" w:rsidRPr="00121500" w:rsidRDefault="00121500" w:rsidP="00BE7731">
      <w:pPr>
        <w:spacing w:after="60"/>
        <w:ind w:right="-8"/>
        <w:rPr>
          <w:szCs w:val="20"/>
        </w:rPr>
      </w:pPr>
      <w:r w:rsidRPr="00121500">
        <w:rPr>
          <w:szCs w:val="20"/>
        </w:rPr>
        <w:t xml:space="preserve">Das Bild, das Marin in seiner zweibändigen Geschichte der Kreuzzüge von Saladin zeichnete, war für Lessing eine Fundgrube für seinen Saladin im "Nathan". Die dem historischen Vorbild von Marin zugeschriebene "Gerechtigkeitsliebe, </w:t>
      </w:r>
      <w:proofErr w:type="spellStart"/>
      <w:r w:rsidRPr="00121500">
        <w:rPr>
          <w:szCs w:val="20"/>
        </w:rPr>
        <w:t>fairness</w:t>
      </w:r>
      <w:proofErr w:type="spellEnd"/>
      <w:r w:rsidRPr="00121500">
        <w:rPr>
          <w:szCs w:val="20"/>
        </w:rPr>
        <w:t>, persönliche Bescheidenheit und Freigiebigkeit" (</w:t>
      </w:r>
      <w:proofErr w:type="spellStart"/>
      <w:r w:rsidRPr="00121500">
        <w:rPr>
          <w:szCs w:val="20"/>
        </w:rPr>
        <w:t>Demetz</w:t>
      </w:r>
      <w:proofErr w:type="spellEnd"/>
      <w:r w:rsidRPr="00121500">
        <w:rPr>
          <w:szCs w:val="20"/>
        </w:rPr>
        <w:t xml:space="preserve"> 1984, S.187) passte besonders gut zu Lessings Konzept der ernsten Komödie. Die "Blumenkette überraschender Wohltaten, humaner Rittersprüche, unerhörter Beweis glanzvoller Ritterlichkeit" (ebd.), die Marin dem historischen Saladin umhängte, war jedenfalls ausgesprochen lang: "Saladin, der Eroberer Jerusalems, Wachen aufstellend, um die Plünderung der eroberten Stadt durch seine siegestrunkenen Soldaten zu verhindern; Saladins Befreiung der Sklaven; Saladins öffentliche Gerichtsverhandlungen, die selbst den Privatkläger gegen den Staat tolerierten; Saladins Freude am kühnen und schlagfertigen Gegner, dem er Leben und Freiheit schenkt; Saladins Bemühungen, christlichen Müttern die geraubten Kinder wiederzufinden; Saladins rasches Einschreiten gegen die Brutalität seiner Söhne, die sich auf unrechte Art hervortun wollen; Saladins offene Hand, die Unterführer und Emire mit Schätzen überhäufte, ohne selbst ein Gran Goldes für sich zu behalten. Charakteristisch Marins Bericht, der Saladins Barmherzigkeit mit der christlichen Grausamkeit konfrontiert". (ebd.) (vgl. auch die Darstellung </w:t>
      </w:r>
      <w:proofErr w:type="spellStart"/>
      <w:r w:rsidRPr="00121500">
        <w:rPr>
          <w:szCs w:val="20"/>
        </w:rPr>
        <w:t>Grotzfelds</w:t>
      </w:r>
      <w:proofErr w:type="spellEnd"/>
      <w:r w:rsidRPr="00121500">
        <w:rPr>
          <w:szCs w:val="20"/>
        </w:rPr>
        <w:t>) Es fällt nicht schwer, für nahezu alle diese Charaktereigenschaften Saladins eine entsprechende Szene in Lessings Drama zu finden.</w:t>
      </w:r>
    </w:p>
    <w:p w14:paraId="1D532FA9" w14:textId="77777777" w:rsidR="00121500" w:rsidRPr="00121500" w:rsidRDefault="00121500" w:rsidP="00BE7731">
      <w:pPr>
        <w:spacing w:after="60"/>
        <w:ind w:right="-8"/>
        <w:rPr>
          <w:szCs w:val="20"/>
        </w:rPr>
      </w:pPr>
      <w:r w:rsidRPr="00121500">
        <w:rPr>
          <w:szCs w:val="20"/>
        </w:rPr>
        <w:t>Das "Historische, Heroische und Unerhörte" (</w:t>
      </w:r>
      <w:proofErr w:type="spellStart"/>
      <w:r w:rsidRPr="00121500">
        <w:rPr>
          <w:szCs w:val="20"/>
        </w:rPr>
        <w:t>Demetz</w:t>
      </w:r>
      <w:proofErr w:type="spellEnd"/>
      <w:r w:rsidRPr="00121500">
        <w:rPr>
          <w:szCs w:val="20"/>
        </w:rPr>
        <w:t xml:space="preserve"> 1984, S.186), das "den wildgerechten Herrscher" als Figur in einem Drama von vornherein auszeichnen konnte, passte allerdings, solange diese Züge in einem auf Herrschaft und Macht bezogenen Kontext erschienen, nicht in Lessings Konzept der ersten Komödie, "Saladin, den berühmten Krieger und Herrscher" in den Rahmen eines (rührenden) Familiendramas zu setzen, bereitete auch spezifische theatralische Schwierigkeiten (vgl. </w:t>
      </w:r>
      <w:proofErr w:type="spellStart"/>
      <w:r w:rsidRPr="00121500">
        <w:rPr>
          <w:szCs w:val="20"/>
        </w:rPr>
        <w:t>Demetz</w:t>
      </w:r>
      <w:proofErr w:type="spellEnd"/>
      <w:r w:rsidRPr="00121500">
        <w:rPr>
          <w:szCs w:val="20"/>
        </w:rPr>
        <w:t xml:space="preserve"> 1984,S.184). Und so mancher Kr</w:t>
      </w:r>
      <w:r w:rsidRPr="00121500">
        <w:rPr>
          <w:rFonts w:hint="eastAsia"/>
          <w:szCs w:val="20"/>
        </w:rPr>
        <w:t>itiker des Stückes, darunter auch Friedrich Schiller (1759-1805), der das Stück für die Bühne bearbeitete, hat sich darüber ausgelassen. (</w:t>
      </w:r>
      <w:r w:rsidRPr="00121500">
        <w:rPr>
          <w:rFonts w:hint="eastAsia"/>
          <w:szCs w:val="20"/>
        </w:rPr>
        <w:t>→</w:t>
      </w:r>
      <w:r w:rsidRPr="00121500">
        <w:rPr>
          <w:rFonts w:hint="eastAsia"/>
          <w:szCs w:val="20"/>
        </w:rPr>
        <w:t xml:space="preserve">Schiller, Friedrich: </w:t>
      </w:r>
      <w:proofErr w:type="spellStart"/>
      <w:r w:rsidRPr="00121500">
        <w:rPr>
          <w:rFonts w:hint="eastAsia"/>
          <w:szCs w:val="20"/>
        </w:rPr>
        <w:t>Sultanisch</w:t>
      </w:r>
      <w:proofErr w:type="spellEnd"/>
      <w:r w:rsidRPr="00121500">
        <w:rPr>
          <w:rFonts w:hint="eastAsia"/>
          <w:szCs w:val="20"/>
        </w:rPr>
        <w:t>, aber kein Sultan). Den Sultan in den Rahmen eines Familienstücks zu setzen, lief Gef</w:t>
      </w:r>
      <w:r w:rsidRPr="00121500">
        <w:rPr>
          <w:szCs w:val="20"/>
        </w:rPr>
        <w:t>ahr, den charismatischen Heros, den sein Mythos umwehte, nur "in den Pantoffeln des Privatmenschen" (</w:t>
      </w:r>
      <w:proofErr w:type="spellStart"/>
      <w:r w:rsidRPr="00121500">
        <w:rPr>
          <w:szCs w:val="20"/>
        </w:rPr>
        <w:t>Demetz</w:t>
      </w:r>
      <w:proofErr w:type="spellEnd"/>
      <w:r w:rsidRPr="00121500">
        <w:rPr>
          <w:szCs w:val="20"/>
        </w:rPr>
        <w:t xml:space="preserve"> 1984</w:t>
      </w:r>
      <w:proofErr w:type="gramStart"/>
      <w:r w:rsidRPr="00121500">
        <w:rPr>
          <w:szCs w:val="20"/>
        </w:rPr>
        <w:t>,S.186</w:t>
      </w:r>
      <w:proofErr w:type="gramEnd"/>
      <w:r w:rsidRPr="00121500">
        <w:rPr>
          <w:szCs w:val="20"/>
        </w:rPr>
        <w:t xml:space="preserve">) zu zeigen. Der Kunstgriff, den Lessing verwendet, die Passung, die Saladin für sein Stück, geeignet machte, war die besondere Art, mit der er den Sultan stilisierte. ("Lessing stilisiert, indem er privatisiert.", ebd.) Indem Lessing "auch die öffentlichen Tugenden Saladins, die er in Marins Berichte [sic!] fand, sehr energisch ins Private verwandelt", verzerrt sich indessen das historisch überlieferte Charakterbild nicht, ja es ist geradezu "paradox, dass dieser von der Theater-Form postulierte Privat-Saladin" im Wesentlichen dem historischen Charakterbild entspricht. Wenn sich, historisch betrachtet, seine Entscheidungen über Krieg und Frieden, seine Gerechtigkeitsliebe, Freigiebigkeit und vieles mehr in der öffentlichen Sphäre des Herrschers vollzogen, so erscheint dies alles im "Nathan" in einer häuslichen Welt: "Selbst Saladins </w:t>
      </w:r>
      <w:r w:rsidRPr="00121500">
        <w:rPr>
          <w:szCs w:val="20"/>
        </w:rPr>
        <w:lastRenderedPageBreak/>
        <w:t>Begnadigung des Tempelherren, eines seiner »schlimmsten Feinde« [III,7] enthüllt sich zuletzt als Familienaffäre". (ebd., S.187)</w:t>
      </w:r>
    </w:p>
    <w:p w14:paraId="1FE21ACC" w14:textId="77777777" w:rsidR="00121500" w:rsidRPr="00121500" w:rsidRDefault="00121500" w:rsidP="00BE7731">
      <w:pPr>
        <w:spacing w:after="60"/>
        <w:ind w:right="-8"/>
        <w:rPr>
          <w:szCs w:val="20"/>
        </w:rPr>
      </w:pPr>
      <w:r w:rsidRPr="00121500">
        <w:rPr>
          <w:szCs w:val="20"/>
        </w:rPr>
        <w:t xml:space="preserve">Barner u. a. (1987, S.321ff.) haben in folgender Weise untersucht, wie Lessing die Figur Saladins konzipiert hat und wie die oben beschriebene Passung funktioniert: "Gleich in seinem ersten Auftritt zeigt sich der Sultan wie ein bürgerlicher Hausvater von Geldsorgen geplagt: »es klemmt sich aller Orten« (II,1) Heroismus erscheint an ihm nur noch als Zitat und als Gestus der Ohnmacht gegenüber der Finanznot: »Ein Kleid, Ein Schwert, Ein Pferd, - und </w:t>
      </w:r>
      <w:proofErr w:type="spellStart"/>
      <w:r w:rsidRPr="00121500">
        <w:rPr>
          <w:szCs w:val="20"/>
        </w:rPr>
        <w:t>Einen</w:t>
      </w:r>
      <w:proofErr w:type="spellEnd"/>
      <w:r w:rsidRPr="00121500">
        <w:rPr>
          <w:szCs w:val="20"/>
        </w:rPr>
        <w:t xml:space="preserve"> Gott! Was brauch ich mehr</w:t>
      </w:r>
      <w:proofErr w:type="gramStart"/>
      <w:r w:rsidRPr="00121500">
        <w:rPr>
          <w:szCs w:val="20"/>
        </w:rPr>
        <w:t>?«</w:t>
      </w:r>
      <w:proofErr w:type="gramEnd"/>
      <w:r w:rsidRPr="00121500">
        <w:rPr>
          <w:szCs w:val="20"/>
        </w:rPr>
        <w:t>. Ganz im Gegensatz zu dieser Parole des Heiligen Eroberungskrieges, den der Koran dem Gläubigen gebot, sehen seine weltpolitischen (Heirats-)Pläne eine friedliche Überwindung des blutigen Konflikts zwischen den Religionen vor (II</w:t>
      </w:r>
      <w:proofErr w:type="gramStart"/>
      <w:r w:rsidRPr="00121500">
        <w:rPr>
          <w:szCs w:val="20"/>
        </w:rPr>
        <w:t>,1</w:t>
      </w:r>
      <w:proofErr w:type="gramEnd"/>
      <w:r w:rsidRPr="00121500">
        <w:rPr>
          <w:szCs w:val="20"/>
        </w:rPr>
        <w:t>). [...]</w:t>
      </w:r>
    </w:p>
    <w:p w14:paraId="402AB69D" w14:textId="77777777" w:rsidR="00121500" w:rsidRPr="00121500" w:rsidRDefault="00121500" w:rsidP="00BE7731">
      <w:pPr>
        <w:spacing w:after="60"/>
        <w:ind w:right="-8"/>
        <w:rPr>
          <w:szCs w:val="20"/>
        </w:rPr>
      </w:pPr>
      <w:r w:rsidRPr="00121500">
        <w:rPr>
          <w:szCs w:val="20"/>
        </w:rPr>
        <w:t>Dass Saladin [...] einem Feind aufgrund einer plötzlich empfundenen Zuneigung das Leben schenkt (s. I</w:t>
      </w:r>
      <w:proofErr w:type="gramStart"/>
      <w:r w:rsidRPr="00121500">
        <w:rPr>
          <w:szCs w:val="20"/>
        </w:rPr>
        <w:t>,5</w:t>
      </w:r>
      <w:proofErr w:type="gramEnd"/>
      <w:r w:rsidRPr="00121500">
        <w:rPr>
          <w:szCs w:val="20"/>
        </w:rPr>
        <w:t xml:space="preserve"> und IV,4), kann nach der Theorie des bürgerlichen Dramas als Indiz seiner Menschlichkeit betrachtet werden und macht ihn zum Helden geeignet. Maximen des politischen Rationalismus sind nicht von Saladin, sondern von Sittah zu hören." Sie ist es auch, die "Realprinzipien der Macht" (Kröger 1991/98, S.42) wie "Kälte der Vernunft, selbstverständliche Handhabe </w:t>
      </w:r>
      <w:proofErr w:type="spellStart"/>
      <w:r w:rsidRPr="00121500">
        <w:rPr>
          <w:szCs w:val="20"/>
        </w:rPr>
        <w:t>herrscherlicher</w:t>
      </w:r>
      <w:proofErr w:type="spellEnd"/>
      <w:r w:rsidRPr="00121500">
        <w:rPr>
          <w:szCs w:val="20"/>
        </w:rPr>
        <w:t xml:space="preserve"> Macht, Wissen um die Bedeutung des Geldes" (ebd.) in Denken und Handeln des Herrschers einbringt.</w:t>
      </w:r>
    </w:p>
    <w:p w14:paraId="41AC68D8" w14:textId="7F1CE275" w:rsidR="00121500" w:rsidRPr="00121500" w:rsidRDefault="00121500" w:rsidP="00BE7731">
      <w:pPr>
        <w:spacing w:after="60"/>
        <w:ind w:right="-8"/>
        <w:rPr>
          <w:rFonts w:hint="eastAsia"/>
          <w:szCs w:val="20"/>
        </w:rPr>
      </w:pPr>
      <w:r w:rsidRPr="00121500">
        <w:rPr>
          <w:szCs w:val="20"/>
        </w:rPr>
        <w:t>Trotz allem: Auch die persönliche Integrität Saladins kann nicht grundsätzlich darüber hinwegtäuschen, dass auch "sein Regiment vom Makel absolutistischer Willkür gekennzeichnet" ist (Barner u. a. (1987, S.321ff.) Dies wird beim Schachspiel mit seiner Schwester Sittah deutlich (II</w:t>
      </w:r>
      <w:proofErr w:type="gramStart"/>
      <w:r w:rsidRPr="00121500">
        <w:rPr>
          <w:szCs w:val="20"/>
        </w:rPr>
        <w:t>,1</w:t>
      </w:r>
      <w:proofErr w:type="gramEnd"/>
      <w:r w:rsidRPr="00121500">
        <w:rPr>
          <w:szCs w:val="20"/>
        </w:rPr>
        <w:t xml:space="preserve"> u. 2), bei der die Finanznot des Sultans zur Sprache kommt. Seine Macht, das zeigen auch die zunächst ausbleibenden und später eintreffenden Tributzahlungen aus Ägypten, beruht "auf der Ausplünderung seiner Untertanen" (Kröger 1991/98, S.42), auf die auch der gütigste Sultan im Interesse des eigenen Machterhalts nicht verzichten kann. So stellt denn auch Lessing den Sultan beim Schachspiel nicht zufällig beim Spiel vor, denn "Zeremoniell und Spiele hatten an den Höfen die Funktion, die Souveränität des Fürsten zu repräsentieren und gottähnliche Omnipotenz zu prätendieren.</w:t>
      </w:r>
      <w:r w:rsidRPr="00D02B47">
        <w:rPr>
          <w:szCs w:val="20"/>
          <w:vertAlign w:val="superscript"/>
        </w:rPr>
        <w:t>1)</w:t>
      </w:r>
      <w:r w:rsidRPr="00121500">
        <w:rPr>
          <w:szCs w:val="20"/>
        </w:rPr>
        <w:t xml:space="preserve">" (Barner u. a. 1987, ebd.) Und: Die "verschwenderische Mildtätigkeit Saladins" (ebd.) entpuppt sich bei genauerem Hinsehen denn auch als ein "Verhalten Saladins, das insgesamt nichts bessern kann und nur den Mythos von der Gottähnlichkeit des Fürsten </w:t>
      </w:r>
      <w:bookmarkStart w:id="0" w:name="_GoBack"/>
      <w:bookmarkEnd w:id="0"/>
      <w:r w:rsidRPr="00121500">
        <w:rPr>
          <w:szCs w:val="20"/>
        </w:rPr>
        <w:t xml:space="preserve">festigen soll, in sozialethischer Hinsicht unverantwortbar und zudem Ausdruck persönlicher Schwäche. Insofern ist Nathan der Weise ein radikaler Bruch mit der Apologetik </w:t>
      </w:r>
      <w:r w:rsidRPr="00D02B47">
        <w:rPr>
          <w:szCs w:val="20"/>
          <w:vertAlign w:val="superscript"/>
        </w:rPr>
        <w:t>2)</w:t>
      </w:r>
      <w:r w:rsidRPr="00121500">
        <w:rPr>
          <w:szCs w:val="20"/>
        </w:rPr>
        <w:t xml:space="preserve"> der Höfe im klassizistischen Drama." (ebd.) Und genau dies bringt ihn in einen Gegensatz zu Nathan, der seine Mittel wohlüberlegt einsetzt, um das Ziel einer humanen Welt zu erreichen. Daher ziehen Barner u. a. (1987, ebd.) den Schluss: "Wenn der Nathan Ausdruck des gestiegenen bürgerlichen Selbstbewusstseins ist, hält er auch am Gedanken fest, dass soziale Veränderungen sich am besten über Bildung und Erziehung der Individuen und besonders eben der Fürsten herbeiführen ließen. Diese Bildungsidee w</w:t>
      </w:r>
      <w:r w:rsidRPr="00121500">
        <w:rPr>
          <w:rFonts w:hint="eastAsia"/>
          <w:szCs w:val="20"/>
        </w:rPr>
        <w:t>urde durch das Revolutionsziel erst ersetzt, nachdem in Frankreich die bürgerli</w:t>
      </w:r>
      <w:r w:rsidR="00D02B47">
        <w:rPr>
          <w:rFonts w:hint="eastAsia"/>
          <w:szCs w:val="20"/>
        </w:rPr>
        <w:t xml:space="preserve">che Revolution gesiegt hatte." </w:t>
      </w:r>
    </w:p>
    <w:p w14:paraId="0E3F0F12" w14:textId="77777777" w:rsidR="00121500" w:rsidRPr="00D02B47" w:rsidRDefault="00121500" w:rsidP="00BE7731">
      <w:pPr>
        <w:spacing w:after="60"/>
        <w:ind w:right="-8"/>
        <w:rPr>
          <w:sz w:val="8"/>
          <w:szCs w:val="20"/>
        </w:rPr>
      </w:pPr>
    </w:p>
    <w:p w14:paraId="2AA69A5D" w14:textId="083947F7" w:rsidR="00121500" w:rsidRPr="00D02B47" w:rsidRDefault="00D02B47" w:rsidP="00BE7731">
      <w:pPr>
        <w:spacing w:after="60"/>
        <w:ind w:right="-8"/>
        <w:rPr>
          <w:szCs w:val="20"/>
        </w:rPr>
      </w:pPr>
      <w:r>
        <w:rPr>
          <w:szCs w:val="20"/>
        </w:rPr>
        <w:t>WORTERKLÄRUNGEN</w:t>
      </w:r>
    </w:p>
    <w:p w14:paraId="547CAD16" w14:textId="77777777" w:rsidR="00121500" w:rsidRPr="00121500" w:rsidRDefault="00121500" w:rsidP="00BE7731">
      <w:pPr>
        <w:spacing w:after="60"/>
        <w:ind w:right="-8"/>
        <w:rPr>
          <w:szCs w:val="20"/>
        </w:rPr>
      </w:pPr>
      <w:r w:rsidRPr="00BE7731">
        <w:rPr>
          <w:szCs w:val="20"/>
          <w:vertAlign w:val="superscript"/>
        </w:rPr>
        <w:t>1</w:t>
      </w:r>
      <w:r w:rsidRPr="00121500">
        <w:rPr>
          <w:szCs w:val="20"/>
        </w:rPr>
        <w:t xml:space="preserve"> prätendieren: beanspruchen, Anspruch erheben</w:t>
      </w:r>
    </w:p>
    <w:p w14:paraId="16CB4ABE" w14:textId="4E0913E3" w:rsidR="007077CB" w:rsidRPr="0091388F" w:rsidRDefault="00121500" w:rsidP="00BE7731">
      <w:pPr>
        <w:spacing w:after="60"/>
        <w:ind w:right="-8"/>
        <w:rPr>
          <w:sz w:val="10"/>
          <w:szCs w:val="20"/>
        </w:rPr>
      </w:pPr>
      <w:r w:rsidRPr="00BE7731">
        <w:rPr>
          <w:szCs w:val="20"/>
          <w:vertAlign w:val="superscript"/>
        </w:rPr>
        <w:t>2</w:t>
      </w:r>
      <w:r w:rsidRPr="00121500">
        <w:rPr>
          <w:szCs w:val="20"/>
        </w:rPr>
        <w:t xml:space="preserve"> Apologetik: Verteidigung, Rechtfertigung</w:t>
      </w:r>
    </w:p>
    <w:p w14:paraId="02A1E349" w14:textId="71233DDB" w:rsidR="005E6BAE" w:rsidRDefault="005E6BAE" w:rsidP="00D02B47">
      <w:pPr>
        <w:pStyle w:val="StandardWeb"/>
        <w:spacing w:before="0" w:beforeAutospacing="0" w:after="0" w:afterAutospacing="0"/>
        <w:rPr>
          <w:rFonts w:asciiTheme="majorHAnsi" w:hAnsiTheme="majorHAnsi" w:cs="Arial"/>
          <w:color w:val="000000"/>
          <w:sz w:val="22"/>
          <w:szCs w:val="20"/>
        </w:rPr>
      </w:pPr>
    </w:p>
    <w:p w14:paraId="614DAB3B" w14:textId="49557F84" w:rsidR="00B0567E" w:rsidRDefault="00B0567E" w:rsidP="00D02B47">
      <w:pPr>
        <w:pStyle w:val="StandardWeb"/>
        <w:spacing w:before="0" w:beforeAutospacing="0" w:after="0" w:afterAutospacing="0"/>
        <w:rPr>
          <w:rFonts w:asciiTheme="majorHAnsi" w:hAnsiTheme="majorHAnsi" w:cs="Arial"/>
          <w:color w:val="000000"/>
          <w:sz w:val="22"/>
          <w:szCs w:val="20"/>
        </w:rPr>
      </w:pPr>
      <w:r>
        <w:rPr>
          <w:rFonts w:asciiTheme="majorHAnsi" w:hAnsiTheme="majorHAnsi" w:cs="Arial"/>
          <w:color w:val="000000"/>
          <w:sz w:val="22"/>
          <w:szCs w:val="20"/>
        </w:rPr>
        <w:t>Quellen:</w:t>
      </w:r>
      <w:r w:rsidR="00BE7731">
        <w:rPr>
          <w:rFonts w:asciiTheme="majorHAnsi" w:hAnsiTheme="majorHAnsi" w:cs="Arial"/>
          <w:color w:val="000000"/>
          <w:sz w:val="22"/>
          <w:szCs w:val="20"/>
        </w:rPr>
        <w:br/>
      </w:r>
    </w:p>
    <w:p w14:paraId="0BED1B8A" w14:textId="63C05790" w:rsidR="00BE7731" w:rsidRDefault="00BE7731" w:rsidP="00BE7731">
      <w:pPr>
        <w:pStyle w:val="StandardWeb"/>
        <w:numPr>
          <w:ilvl w:val="0"/>
          <w:numId w:val="43"/>
        </w:numPr>
        <w:spacing w:before="0" w:beforeAutospacing="0" w:after="0" w:afterAutospacing="0"/>
        <w:rPr>
          <w:rFonts w:asciiTheme="majorHAnsi" w:hAnsiTheme="majorHAnsi" w:cs="Arial"/>
          <w:color w:val="000000"/>
          <w:sz w:val="22"/>
          <w:szCs w:val="20"/>
        </w:rPr>
      </w:pPr>
      <w:r w:rsidRPr="00BE7731">
        <w:rPr>
          <w:rFonts w:asciiTheme="majorHAnsi" w:hAnsiTheme="majorHAnsi" w:cs="Arial"/>
          <w:color w:val="000000"/>
          <w:sz w:val="22"/>
          <w:szCs w:val="20"/>
        </w:rPr>
        <w:t>Barner, Wilfried, Gunter E. Grimm, Helmuth Kiesel und Martin Kramer (1987): Lessing. Epoche - Werk - Wirkung, 5., neu bearb. Aufl., München: Beck 1987</w:t>
      </w:r>
    </w:p>
    <w:p w14:paraId="7BAEE792" w14:textId="63B59D04" w:rsidR="00B0567E" w:rsidRDefault="00B0567E" w:rsidP="00BE7731">
      <w:pPr>
        <w:pStyle w:val="StandardWeb"/>
        <w:numPr>
          <w:ilvl w:val="0"/>
          <w:numId w:val="43"/>
        </w:numPr>
        <w:spacing w:before="0" w:beforeAutospacing="0" w:after="0" w:afterAutospacing="0"/>
        <w:rPr>
          <w:rFonts w:asciiTheme="majorHAnsi" w:hAnsiTheme="majorHAnsi" w:cs="Arial"/>
          <w:color w:val="000000"/>
          <w:sz w:val="22"/>
          <w:szCs w:val="20"/>
        </w:rPr>
      </w:pPr>
      <w:proofErr w:type="spellStart"/>
      <w:r w:rsidRPr="00B0567E">
        <w:rPr>
          <w:rFonts w:asciiTheme="majorHAnsi" w:hAnsiTheme="majorHAnsi" w:cs="Arial"/>
          <w:color w:val="000000"/>
          <w:sz w:val="22"/>
          <w:szCs w:val="20"/>
        </w:rPr>
        <w:t>Demetz</w:t>
      </w:r>
      <w:proofErr w:type="spellEnd"/>
      <w:r w:rsidRPr="00B0567E">
        <w:rPr>
          <w:rFonts w:asciiTheme="majorHAnsi" w:hAnsiTheme="majorHAnsi" w:cs="Arial"/>
          <w:color w:val="000000"/>
          <w:sz w:val="22"/>
          <w:szCs w:val="20"/>
        </w:rPr>
        <w:t xml:space="preserve">, Peter (1966/1984): Lessings "Nathan der Weise": Wirklichkeiten und Wirklichkeit, in: </w:t>
      </w:r>
      <w:proofErr w:type="spellStart"/>
      <w:r w:rsidRPr="00B0567E">
        <w:rPr>
          <w:rFonts w:asciiTheme="majorHAnsi" w:hAnsiTheme="majorHAnsi" w:cs="Arial"/>
          <w:color w:val="000000"/>
          <w:sz w:val="22"/>
          <w:szCs w:val="20"/>
        </w:rPr>
        <w:t>ders</w:t>
      </w:r>
      <w:proofErr w:type="spellEnd"/>
      <w:r w:rsidRPr="00B0567E">
        <w:rPr>
          <w:rFonts w:asciiTheme="majorHAnsi" w:hAnsiTheme="majorHAnsi" w:cs="Arial"/>
          <w:color w:val="000000"/>
          <w:sz w:val="22"/>
          <w:szCs w:val="20"/>
        </w:rPr>
        <w:t xml:space="preserve">. (Hg.) 1966, S.121-158, auch in: </w:t>
      </w:r>
      <w:r w:rsidR="00BE7731" w:rsidRPr="00BE7731">
        <w:rPr>
          <w:rFonts w:asciiTheme="majorHAnsi" w:hAnsiTheme="majorHAnsi" w:cs="Arial"/>
          <w:color w:val="000000"/>
          <w:sz w:val="22"/>
          <w:szCs w:val="20"/>
        </w:rPr>
        <w:t>Bohnen, Klaus (Hg.) (1984): Lessings Nathan der Weise, Darmstadt 1984</w:t>
      </w:r>
      <w:r w:rsidR="00BE7731">
        <w:rPr>
          <w:rFonts w:asciiTheme="majorHAnsi" w:hAnsiTheme="majorHAnsi" w:cs="Arial"/>
          <w:color w:val="000000"/>
          <w:sz w:val="22"/>
          <w:szCs w:val="20"/>
        </w:rPr>
        <w:t xml:space="preserve">, </w:t>
      </w:r>
      <w:r w:rsidR="00BE7731" w:rsidRPr="00BE7731">
        <w:rPr>
          <w:rFonts w:asciiTheme="majorHAnsi" w:hAnsiTheme="majorHAnsi" w:cs="Arial"/>
          <w:color w:val="000000"/>
          <w:sz w:val="22"/>
          <w:szCs w:val="20"/>
        </w:rPr>
        <w:t>S. 168-218</w:t>
      </w:r>
    </w:p>
    <w:p w14:paraId="22A97DD3" w14:textId="4A9DA1FA" w:rsidR="00BE7731" w:rsidRDefault="00BE7731" w:rsidP="00BE7731">
      <w:pPr>
        <w:pStyle w:val="StandardWeb"/>
        <w:numPr>
          <w:ilvl w:val="0"/>
          <w:numId w:val="43"/>
        </w:numPr>
        <w:spacing w:before="0" w:beforeAutospacing="0" w:after="0" w:afterAutospacing="0"/>
        <w:rPr>
          <w:rFonts w:asciiTheme="majorHAnsi" w:hAnsiTheme="majorHAnsi" w:cs="Arial"/>
          <w:color w:val="000000"/>
          <w:sz w:val="22"/>
          <w:szCs w:val="20"/>
        </w:rPr>
      </w:pPr>
      <w:proofErr w:type="spellStart"/>
      <w:r w:rsidRPr="00BE7731">
        <w:rPr>
          <w:rFonts w:asciiTheme="majorHAnsi" w:hAnsiTheme="majorHAnsi" w:cs="Arial"/>
          <w:color w:val="000000"/>
          <w:sz w:val="22"/>
          <w:szCs w:val="20"/>
        </w:rPr>
        <w:t>Grotzfeld</w:t>
      </w:r>
      <w:proofErr w:type="spellEnd"/>
      <w:r w:rsidRPr="00BE7731">
        <w:rPr>
          <w:rFonts w:asciiTheme="majorHAnsi" w:hAnsiTheme="majorHAnsi" w:cs="Arial"/>
          <w:color w:val="000000"/>
          <w:sz w:val="22"/>
          <w:szCs w:val="20"/>
        </w:rPr>
        <w:t xml:space="preserve">, Sophia (1978): Saladin, in: Die Großen. Leben und Leistung der sechshundert bedeutendsten Persönlichkeiten unserer Welt (1977), </w:t>
      </w:r>
      <w:proofErr w:type="spellStart"/>
      <w:r w:rsidRPr="00BE7731">
        <w:rPr>
          <w:rFonts w:asciiTheme="majorHAnsi" w:hAnsiTheme="majorHAnsi" w:cs="Arial"/>
          <w:color w:val="000000"/>
          <w:sz w:val="22"/>
          <w:szCs w:val="20"/>
        </w:rPr>
        <w:t>hg</w:t>
      </w:r>
      <w:proofErr w:type="spellEnd"/>
      <w:r w:rsidRPr="00BE7731">
        <w:rPr>
          <w:rFonts w:asciiTheme="majorHAnsi" w:hAnsiTheme="majorHAnsi" w:cs="Arial"/>
          <w:color w:val="000000"/>
          <w:sz w:val="22"/>
          <w:szCs w:val="20"/>
        </w:rPr>
        <w:t xml:space="preserve">. v. Kurt </w:t>
      </w:r>
      <w:proofErr w:type="spellStart"/>
      <w:r w:rsidRPr="00BE7731">
        <w:rPr>
          <w:rFonts w:asciiTheme="majorHAnsi" w:hAnsiTheme="majorHAnsi" w:cs="Arial"/>
          <w:color w:val="000000"/>
          <w:sz w:val="22"/>
          <w:szCs w:val="20"/>
        </w:rPr>
        <w:t>Fassmann</w:t>
      </w:r>
      <w:proofErr w:type="spellEnd"/>
      <w:r w:rsidRPr="00BE7731">
        <w:rPr>
          <w:rFonts w:asciiTheme="majorHAnsi" w:hAnsiTheme="majorHAnsi" w:cs="Arial"/>
          <w:color w:val="000000"/>
          <w:sz w:val="22"/>
          <w:szCs w:val="20"/>
        </w:rPr>
        <w:t>, Zürich: Kindler-Verlag 1977</w:t>
      </w:r>
      <w:r>
        <w:rPr>
          <w:rFonts w:asciiTheme="majorHAnsi" w:hAnsiTheme="majorHAnsi" w:cs="Arial"/>
          <w:color w:val="000000"/>
          <w:sz w:val="22"/>
          <w:szCs w:val="20"/>
        </w:rPr>
        <w:t xml:space="preserve">, </w:t>
      </w:r>
      <w:r w:rsidRPr="00BE7731">
        <w:rPr>
          <w:rFonts w:asciiTheme="majorHAnsi" w:hAnsiTheme="majorHAnsi" w:cs="Arial"/>
          <w:color w:val="000000"/>
          <w:sz w:val="22"/>
          <w:szCs w:val="20"/>
        </w:rPr>
        <w:t>Bd. III/2, S. 476-489</w:t>
      </w:r>
    </w:p>
    <w:p w14:paraId="64EC130A" w14:textId="05AAEB45" w:rsidR="00BE7731" w:rsidRPr="0091388F" w:rsidRDefault="00BE7731" w:rsidP="00BE7731">
      <w:pPr>
        <w:pStyle w:val="StandardWeb"/>
        <w:numPr>
          <w:ilvl w:val="0"/>
          <w:numId w:val="43"/>
        </w:numPr>
        <w:spacing w:before="0" w:beforeAutospacing="0" w:after="0" w:afterAutospacing="0"/>
        <w:rPr>
          <w:rFonts w:asciiTheme="majorHAnsi" w:hAnsiTheme="majorHAnsi" w:cs="Arial"/>
          <w:color w:val="000000"/>
          <w:sz w:val="22"/>
          <w:szCs w:val="20"/>
        </w:rPr>
      </w:pPr>
      <w:r w:rsidRPr="00BE7731">
        <w:rPr>
          <w:rFonts w:asciiTheme="majorHAnsi" w:hAnsiTheme="majorHAnsi" w:cs="Arial"/>
          <w:color w:val="000000"/>
          <w:sz w:val="22"/>
          <w:szCs w:val="20"/>
        </w:rPr>
        <w:t xml:space="preserve">Kröger, Wolfgang (1991/98): Gotthold Ephraim Lessing, Nathan der </w:t>
      </w:r>
      <w:proofErr w:type="gramStart"/>
      <w:r w:rsidRPr="00BE7731">
        <w:rPr>
          <w:rFonts w:asciiTheme="majorHAnsi" w:hAnsiTheme="majorHAnsi" w:cs="Arial"/>
          <w:color w:val="000000"/>
          <w:sz w:val="22"/>
          <w:szCs w:val="20"/>
        </w:rPr>
        <w:t>Weise ,</w:t>
      </w:r>
      <w:proofErr w:type="gramEnd"/>
      <w:r w:rsidRPr="00BE7731">
        <w:rPr>
          <w:rFonts w:asciiTheme="majorHAnsi" w:hAnsiTheme="majorHAnsi" w:cs="Arial"/>
          <w:color w:val="000000"/>
          <w:sz w:val="22"/>
          <w:szCs w:val="20"/>
        </w:rPr>
        <w:t xml:space="preserve"> 3., </w:t>
      </w:r>
      <w:proofErr w:type="spellStart"/>
      <w:r w:rsidRPr="00BE7731">
        <w:rPr>
          <w:rFonts w:asciiTheme="majorHAnsi" w:hAnsiTheme="majorHAnsi" w:cs="Arial"/>
          <w:color w:val="000000"/>
          <w:sz w:val="22"/>
          <w:szCs w:val="20"/>
        </w:rPr>
        <w:t>überarb</w:t>
      </w:r>
      <w:proofErr w:type="spellEnd"/>
      <w:r w:rsidRPr="00BE7731">
        <w:rPr>
          <w:rFonts w:asciiTheme="majorHAnsi" w:hAnsiTheme="majorHAnsi" w:cs="Arial"/>
          <w:color w:val="000000"/>
          <w:sz w:val="22"/>
          <w:szCs w:val="20"/>
        </w:rPr>
        <w:t xml:space="preserve">. Aufl., München: </w:t>
      </w:r>
      <w:proofErr w:type="spellStart"/>
      <w:r w:rsidRPr="00BE7731">
        <w:rPr>
          <w:rFonts w:asciiTheme="majorHAnsi" w:hAnsiTheme="majorHAnsi" w:cs="Arial"/>
          <w:color w:val="000000"/>
          <w:sz w:val="22"/>
          <w:szCs w:val="20"/>
        </w:rPr>
        <w:t>Oldenbourg</w:t>
      </w:r>
      <w:proofErr w:type="spellEnd"/>
      <w:r w:rsidRPr="00BE7731">
        <w:rPr>
          <w:rFonts w:asciiTheme="majorHAnsi" w:hAnsiTheme="majorHAnsi" w:cs="Arial"/>
          <w:color w:val="000000"/>
          <w:sz w:val="22"/>
          <w:szCs w:val="20"/>
        </w:rPr>
        <w:t xml:space="preserve"> 1998 (=</w:t>
      </w:r>
      <w:proofErr w:type="spellStart"/>
      <w:r w:rsidRPr="00BE7731">
        <w:rPr>
          <w:rFonts w:asciiTheme="majorHAnsi" w:hAnsiTheme="majorHAnsi" w:cs="Arial"/>
          <w:color w:val="000000"/>
          <w:sz w:val="22"/>
          <w:szCs w:val="20"/>
        </w:rPr>
        <w:t>Oldenbourg</w:t>
      </w:r>
      <w:proofErr w:type="spellEnd"/>
      <w:r w:rsidRPr="00BE7731">
        <w:rPr>
          <w:rFonts w:asciiTheme="majorHAnsi" w:hAnsiTheme="majorHAnsi" w:cs="Arial"/>
          <w:color w:val="000000"/>
          <w:sz w:val="22"/>
          <w:szCs w:val="20"/>
        </w:rPr>
        <w:t xml:space="preserve"> Interpretationen Nr.53)</w:t>
      </w:r>
    </w:p>
    <w:sectPr w:rsidR="00BE7731" w:rsidRPr="0091388F" w:rsidSect="004E5969">
      <w:type w:val="continuous"/>
      <w:pgSz w:w="11900" w:h="16840"/>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FBFCA2" w14:textId="77777777" w:rsidR="00227AF7" w:rsidRDefault="00227AF7" w:rsidP="003016EC">
      <w:r>
        <w:separator/>
      </w:r>
    </w:p>
  </w:endnote>
  <w:endnote w:type="continuationSeparator" w:id="0">
    <w:p w14:paraId="12353769" w14:textId="77777777" w:rsidR="00227AF7" w:rsidRDefault="00227AF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1A301" w14:textId="759DF008" w:rsidR="00227AF7" w:rsidRPr="009D1C5C" w:rsidRDefault="000D1314"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0732EC82" wp14:editId="47A7D978">
          <wp:simplePos x="0" y="0"/>
          <wp:positionH relativeFrom="column">
            <wp:posOffset>5016500</wp:posOffset>
          </wp:positionH>
          <wp:positionV relativeFrom="paragraph">
            <wp:posOffset>192405</wp:posOffset>
          </wp:positionV>
          <wp:extent cx="571500" cy="215900"/>
          <wp:effectExtent l="0" t="0" r="0" b="0"/>
          <wp:wrapSquare wrapText="bothSides"/>
          <wp:docPr id="8" name="Grafik 8"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42EF5" w14:textId="0E8A95B5" w:rsidR="00227AF7" w:rsidRPr="009D1C5C" w:rsidRDefault="0026014A" w:rsidP="009D1C5C">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6ADEC3BC">
          <wp:simplePos x="0" y="0"/>
          <wp:positionH relativeFrom="column">
            <wp:posOffset>5016500</wp:posOffset>
          </wp:positionH>
          <wp:positionV relativeFrom="paragraph">
            <wp:posOffset>192405</wp:posOffset>
          </wp:positionV>
          <wp:extent cx="571500" cy="215900"/>
          <wp:effectExtent l="0" t="0" r="0" b="0"/>
          <wp:wrapSquare wrapText="bothSides"/>
          <wp:docPr id="9"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t>
    </w:r>
    <w:r w:rsidR="00865CB4">
      <w:rPr>
        <w:rFonts w:ascii="Cambria" w:hAnsi="Cambria"/>
        <w:sz w:val="16"/>
        <w:szCs w:val="16"/>
      </w:rPr>
      <w:t>w</w:t>
    </w:r>
    <w:r w:rsidRPr="0022746E">
      <w:rPr>
        <w:rFonts w:ascii="Cambria" w:hAnsi="Cambria"/>
        <w:sz w:val="16"/>
        <w:szCs w:val="16"/>
      </w:rPr>
      <w:t xml:space="preserve">w.teachsam.de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8966CD" w14:textId="77777777" w:rsidR="00227AF7" w:rsidRDefault="00227AF7" w:rsidP="003016EC">
      <w:r>
        <w:separator/>
      </w:r>
    </w:p>
  </w:footnote>
  <w:footnote w:type="continuationSeparator" w:id="0">
    <w:p w14:paraId="5A17E8BB" w14:textId="77777777" w:rsidR="00227AF7" w:rsidRDefault="00227AF7" w:rsidP="00301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08782" w14:textId="029413BF" w:rsidR="001B6478" w:rsidRPr="003B0F77" w:rsidRDefault="008213E9"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93741466"/>
        <w:docPartObj>
          <w:docPartGallery w:val="Page Numbers (Margins)"/>
          <w:docPartUnique/>
        </w:docPartObj>
      </w:sdtPr>
      <w:sdtEndPr/>
      <w:sdtContent>
        <w:r w:rsidR="000D1314" w:rsidRPr="000D1314">
          <w:rPr>
            <w:rFonts w:asciiTheme="majorHAnsi" w:hAnsiTheme="majorHAnsi"/>
            <w:noProof/>
          </w:rPr>
          <mc:AlternateContent>
            <mc:Choice Requires="wps">
              <w:drawing>
                <wp:anchor distT="0" distB="0" distL="114300" distR="114300" simplePos="0" relativeHeight="251668480" behindDoc="0" locked="0" layoutInCell="0" allowOverlap="1" wp14:anchorId="1FCE3E63" wp14:editId="463C1A4E">
                  <wp:simplePos x="0" y="0"/>
                  <wp:positionH relativeFrom="rightMargin">
                    <wp:align>right</wp:align>
                  </wp:positionH>
                  <wp:positionV relativeFrom="margin">
                    <wp:align>center</wp:align>
                  </wp:positionV>
                  <wp:extent cx="727710" cy="329565"/>
                  <wp:effectExtent l="1905" t="0" r="1905" b="3810"/>
                  <wp:wrapNone/>
                  <wp:docPr id="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0C14D6">
                                <w:rPr>
                                  <w:noProof/>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left:0;text-align:left;margin-left:6.1pt;margin-top:0;width:57.3pt;height:25.95pt;z-index:251668480;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M14dgIAAOwEAAAOAAAAZHJzL2Uyb0RvYy54bWysVF1v0zAUfUfiP1h+b/NB0jTR0mlbKUIa&#10;MDH4Aa7tNNYS29hu04H471w7bWmBB4TIg2PH18fn3nNurq73fYd23FihZI2TaYwRl1QxITc1/vxp&#10;NZljZB2RjHRK8ho/c4uvFy9fXA264qlqVce4QQAibTXoGrfO6SqKLG15T+xUaS5hs1GmJw6WZhMx&#10;QwZA77sojeNZNCjDtFGUWwtfl+MmXgT8puHUfWgayx3qagzcXBhNGNd+jBZXpNoYoltBDzTIP7Do&#10;iZBw6QlqSRxBWyN+g+oFNcqqxk2p6iPVNILykANkk8S/ZPPYEs1DLlAcq09lsv8Plr7fPRgkWI1z&#10;jCTpQaKPnLaO0yeU+eoM2lYQ9KgfjM/P6ntFnyyS6q4lcsNvjFFDywkDTomPjy4O+IWFo2g9vFMM&#10;wMnWqVCofWN6DwglQPugx/NJD753iMLHIi2KBFSjsPUqLfNZHm4g1fGwNta94apHflJjA3IHcLK7&#10;t86TIdUxJJBXnWAr0XVhYTbru86gHQFrrMJzQLfnYcAFsPwBzypI+q1M0iy+TcvJajYvJtkqyydl&#10;Ec8ncVLelrM4K7Pl6rsnkmRVKxjj8l5IfrRXkv2dfAejj8YIBkNDjcs8zUOOFyzteTJxeP6UTC8c&#10;dFsn+hrPT0Gk8vq9liz0giOiG+fRJf1QTajB8R2qEtT2Ao9Gcfv1/uCZtWLPoLtRoAtICL8ImLTK&#10;fMVogHarsf2yJYZj1L2V4J0yyTLfn2GR5UUKC3O+sz7fIZICVI0dRuP0zo09vdVGbFq4KQk1kuoG&#10;/NaI4AXvxZHVwaXQUiGZQ/v7nj1fh6ifP6nFDwA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SyjNeHYCAADsBAAADgAAAAAA&#10;AAAAAAAAAAAuAgAAZHJzL2Uyb0RvYy54bWxQSwECLQAUAAYACAAAACEAcaaGg9wAAAAEAQAADwAA&#10;AAAAAAAAAAAAAADQBAAAZHJzL2Rvd25yZXYueG1sUEsFBgAAAAAEAAQA8wAAANkFAAAAAA==&#10;" o:allowincell="f" stroked="f">
                  <v:textbox>
                    <w:txbxContent>
                      <w:p w14:paraId="0AFC18EC" w14:textId="77777777" w:rsidR="000D1314" w:rsidRDefault="000D1314">
                        <w:pPr>
                          <w:pBdr>
                            <w:bottom w:val="single" w:sz="4" w:space="1" w:color="auto"/>
                          </w:pBdr>
                        </w:pPr>
                        <w:r>
                          <w:fldChar w:fldCharType="begin"/>
                        </w:r>
                        <w:r>
                          <w:instrText>PAGE   \* MERGEFORMAT</w:instrText>
                        </w:r>
                        <w:r>
                          <w:fldChar w:fldCharType="separate"/>
                        </w:r>
                        <w:r w:rsidR="000C14D6">
                          <w:rPr>
                            <w:noProof/>
                          </w:rPr>
                          <w:t>2</w:t>
                        </w:r>
                        <w:r>
                          <w:fldChar w:fldCharType="end"/>
                        </w:r>
                      </w:p>
                    </w:txbxContent>
                  </v:textbox>
                  <w10:wrap anchorx="margin" anchory="margin"/>
                </v:rect>
              </w:pict>
            </mc:Fallback>
          </mc:AlternateContent>
        </w:r>
      </w:sdtContent>
    </w:sdt>
    <w:r w:rsidR="001B6478" w:rsidRPr="00227AF7">
      <w:rPr>
        <w:rFonts w:asciiTheme="majorHAnsi" w:hAnsiTheme="majorHAnsi"/>
        <w:noProof/>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6"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rPr>
      <w:tab/>
    </w:r>
    <w:r w:rsidR="001B6478" w:rsidRPr="003B0F77">
      <w:rPr>
        <w:rFonts w:asciiTheme="majorHAnsi" w:hAnsiTheme="majorHAnsi"/>
      </w:rPr>
      <w:t>teachSam-OER 2014</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30B80" w14:textId="02C3DE87" w:rsidR="00227AF7" w:rsidRPr="003B0F77" w:rsidRDefault="008213E9" w:rsidP="001B6478">
    <w:pPr>
      <w:pStyle w:val="Kopfzeile"/>
      <w:tabs>
        <w:tab w:val="clear" w:pos="4536"/>
        <w:tab w:val="center" w:pos="5245"/>
        <w:tab w:val="left" w:pos="7230"/>
      </w:tabs>
      <w:jc w:val="center"/>
      <w:rPr>
        <w:rFonts w:asciiTheme="majorHAnsi" w:hAnsiTheme="majorHAnsi"/>
      </w:rPr>
    </w:pPr>
    <w:sdt>
      <w:sdtPr>
        <w:rPr>
          <w:rFonts w:asciiTheme="majorHAnsi" w:hAnsiTheme="majorHAnsi"/>
        </w:rPr>
        <w:id w:val="131142951"/>
        <w:docPartObj>
          <w:docPartGallery w:val="Page Numbers (Margins)"/>
          <w:docPartUnique/>
        </w:docPartObj>
      </w:sdtPr>
      <w:sdtEndPr/>
      <w:sdtContent>
        <w:r w:rsidR="002067BD" w:rsidRPr="002067BD">
          <w:rPr>
            <w:rFonts w:asciiTheme="majorHAnsi" w:hAnsiTheme="majorHAnsi"/>
            <w:noProof/>
          </w:rPr>
          <mc:AlternateContent>
            <mc:Choice Requires="wps">
              <w:drawing>
                <wp:anchor distT="0" distB="0" distL="114300" distR="114300" simplePos="0" relativeHeight="251670528" behindDoc="0" locked="0" layoutInCell="0" allowOverlap="1" wp14:anchorId="57BF067F" wp14:editId="56691119">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0D0FE0E9" w14:textId="77777777" w:rsidR="002067BD" w:rsidRDefault="002067BD">
                              <w:pPr>
                                <w:pBdr>
                                  <w:bottom w:val="single" w:sz="4" w:space="1" w:color="auto"/>
                                </w:pBdr>
                              </w:pPr>
                              <w:r>
                                <w:fldChar w:fldCharType="begin"/>
                              </w:r>
                              <w:r>
                                <w:instrText>PAGE   \* MERGEFORMAT</w:instrText>
                              </w:r>
                              <w:r>
                                <w:fldChar w:fldCharType="separate"/>
                              </w:r>
                              <w:r w:rsidR="000C14D6">
                                <w:rPr>
                                  <w:noProof/>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_x0000_s1027" style="position:absolute;left:0;text-align:left;margin-left:6.1pt;margin-top:0;width:57.3pt;height:25.95pt;z-index:25167052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T42egIAAPUEAAAOAAAAZHJzL2Uyb0RvYy54bWysVF1v0zAUfUfiP1h+7/JB0jbR0mlrKUIa&#10;MDH4Aa7jNNYS29hu0w3x37m+/VgHPCBEHhI7vj4+955zfXm16zuyFdZJrSqaXMSUCMV1LdW6ol+/&#10;LEdTSpxnqmadVqKij8LRq9nrV5eDKUWqW93VwhIAUa4cTEVb700ZRY63omfuQhuhYLHRtmcepnYd&#10;1ZYNgN53URrH42jQtjZWc+Ec/F3sF+kM8ZtGcP+paZzwpKsocPP4tvhehXc0u2Tl2jLTSn6gwf6B&#10;Rc+kgkNPUAvmGdlY+RtUL7nVTjf+gus+0k0jucAcIJsk/iWb+5YZgblAcZw5lcn9P1j+cXtniawr&#10;mmc5JYr1INJnwVsv+APJQn0G40oIuzd3NmTozK3mD44oPW+ZWotra/XQClYDqyTERy82hImDrWQ1&#10;fNA1gLON11iqXWP7AAhFIDtU5PGkiNh5wuHnJJ1MEtCNw9KbtMjHOZ7AyuNmY51/J3RPwqCiFgRH&#10;cLa9dT6QYeUxBMnrTtZL2XU4sevVvLNky8AcS3wO6O48DLgAVtgQWKGo34skzeKbtBgtx9PJKFtm&#10;+aiYxNNRnBQ3xTjOimyx/BGIJFnZyroW6lYqcTRYkv2dgAer762BFiNDRYs8zTHHFyzdeTIxPn9K&#10;ppce+q2TfUWnpyBWBv3eqhq7wTPZ7cfRS/pYTajB8YtVQbWDwHuj+N1qh3ZCKwTxV7p+BPmtBnlA&#10;SbgrYNBq+0TJAH1XUfdtw6ygpHuvwEJFkmWhUXGS5ZMUJvZ8ZXW+whQHqIp6SvbDud8398ZYuW7h&#10;pARLpfQ12K6RaIlnVgezQm9hTod7IDTv+Ryjnm+r2U8AAAD//wMAUEsDBBQABgAIAAAAIQBxpoaD&#10;3AAAAAQBAAAPAAAAZHJzL2Rvd25yZXYueG1sTI9BS8NAEIXvgv9hmYIXaTcRWzRmU0SpFAqF1qLX&#10;bXaahO7Ohuw0Tf+9Wy96GXi8x3vf5PPBWdFjFxpPCtJJAgKp9KahSsHuczF+AhFYk9HWEyq4YIB5&#10;cXuT68z4M22w33IlYgmFTCuomdtMylDW6HSY+BYpegffOc1RdpU0nT7HcmflQ5LMpNMNxYVat/hW&#10;Y3ncnpyC47fhdb/kYbVsF/fu/ctuLh9WqbvR8PoCgnHgvzBc8SM6FJFp709kgrAK4iP8e69e+jgD&#10;sVcwTZ9BFrn8D1/8AAAA//8DAFBLAQItABQABgAIAAAAIQC2gziS/gAAAOEBAAATAAAAAAAAAAAA&#10;AAAAAAAAAABbQ29udGVudF9UeXBlc10ueG1sUEsBAi0AFAAGAAgAAAAhADj9If/WAAAAlAEAAAsA&#10;AAAAAAAAAAAAAAAALwEAAF9yZWxzLy5yZWxzUEsBAi0AFAAGAAgAAAAhAJnZPjZ6AgAA9QQAAA4A&#10;AAAAAAAAAAAAAAAALgIAAGRycy9lMm9Eb2MueG1sUEsBAi0AFAAGAAgAAAAhAHGmhoPcAAAABAEA&#10;AA8AAAAAAAAAAAAAAAAA1AQAAGRycy9kb3ducmV2LnhtbFBLBQYAAAAABAAEAPMAAADdBQAAAAA=&#10;" o:allowincell="f" stroked="f">
                  <v:textbox>
                    <w:txbxContent>
                      <w:p w14:paraId="0D0FE0E9" w14:textId="77777777" w:rsidR="002067BD" w:rsidRDefault="002067BD">
                        <w:pPr>
                          <w:pBdr>
                            <w:bottom w:val="single" w:sz="4" w:space="1" w:color="auto"/>
                          </w:pBdr>
                        </w:pPr>
                        <w:r>
                          <w:fldChar w:fldCharType="begin"/>
                        </w:r>
                        <w:r>
                          <w:instrText>PAGE   \* MERGEFORMAT</w:instrText>
                        </w:r>
                        <w:r>
                          <w:fldChar w:fldCharType="separate"/>
                        </w:r>
                        <w:r w:rsidR="000C14D6">
                          <w:rPr>
                            <w:noProof/>
                          </w:rPr>
                          <w:t>1</w:t>
                        </w:r>
                        <w:r>
                          <w:fldChar w:fldCharType="end"/>
                        </w:r>
                      </w:p>
                    </w:txbxContent>
                  </v:textbox>
                  <w10:wrap anchorx="margin" anchory="margin"/>
                </v:rect>
              </w:pict>
            </mc:Fallback>
          </mc:AlternateContent>
        </w:r>
      </w:sdtContent>
    </w:sdt>
    <w:r w:rsidR="00227AF7" w:rsidRPr="00227AF7">
      <w:rPr>
        <w:rFonts w:asciiTheme="majorHAnsi" w:hAnsiTheme="majorHAnsi"/>
        <w:noProof/>
      </w:rPr>
      <w:drawing>
        <wp:anchor distT="0" distB="0" distL="114300" distR="114300" simplePos="0" relativeHeight="251658240" behindDoc="0" locked="0" layoutInCell="1" allowOverlap="1" wp14:anchorId="5AD0516E" wp14:editId="1C921B33">
          <wp:simplePos x="0" y="0"/>
          <wp:positionH relativeFrom="column">
            <wp:posOffset>4797425</wp:posOffset>
          </wp:positionH>
          <wp:positionV relativeFrom="paragraph">
            <wp:posOffset>-169545</wp:posOffset>
          </wp:positionV>
          <wp:extent cx="897890" cy="596265"/>
          <wp:effectExtent l="0" t="0" r="0" b="0"/>
          <wp:wrapSquare wrapText="bothSides"/>
          <wp:docPr id="7"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27AF7">
      <w:rPr>
        <w:rFonts w:asciiTheme="majorHAnsi" w:hAnsiTheme="majorHAnsi"/>
      </w:rPr>
      <w:tab/>
    </w:r>
    <w:r w:rsidR="00227AF7" w:rsidRPr="003B0F77">
      <w:rPr>
        <w:rFonts w:asciiTheme="majorHAnsi" w:hAnsiTheme="majorHAnsi"/>
      </w:rPr>
      <w:t>teachSam-OER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AC7B2A"/>
    <w:multiLevelType w:val="hybridMultilevel"/>
    <w:tmpl w:val="D26293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3AE61B7"/>
    <w:multiLevelType w:val="hybridMultilevel"/>
    <w:tmpl w:val="0C1CF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870572B"/>
    <w:multiLevelType w:val="hybridMultilevel"/>
    <w:tmpl w:val="A1D85DE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A366113"/>
    <w:multiLevelType w:val="hybridMultilevel"/>
    <w:tmpl w:val="B5366C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nsid w:val="15E07178"/>
    <w:multiLevelType w:val="hybridMultilevel"/>
    <w:tmpl w:val="C88C3E5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A672307"/>
    <w:multiLevelType w:val="hybridMultilevel"/>
    <w:tmpl w:val="DC5C67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AF600DC"/>
    <w:multiLevelType w:val="hybridMultilevel"/>
    <w:tmpl w:val="4C32A93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1213834"/>
    <w:multiLevelType w:val="hybridMultilevel"/>
    <w:tmpl w:val="DCF8C8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2041F97"/>
    <w:multiLevelType w:val="hybridMultilevel"/>
    <w:tmpl w:val="2B2A5724"/>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2B06FCA"/>
    <w:multiLevelType w:val="hybridMultilevel"/>
    <w:tmpl w:val="BCB4DB9C"/>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nsid w:val="2FCA18E1"/>
    <w:multiLevelType w:val="hybridMultilevel"/>
    <w:tmpl w:val="7C86B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22F64E8"/>
    <w:multiLevelType w:val="hybridMultilevel"/>
    <w:tmpl w:val="CEFC36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2F519F7"/>
    <w:multiLevelType w:val="hybridMultilevel"/>
    <w:tmpl w:val="89D894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56F1B68"/>
    <w:multiLevelType w:val="hybridMultilevel"/>
    <w:tmpl w:val="4648B5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5856B1C"/>
    <w:multiLevelType w:val="hybridMultilevel"/>
    <w:tmpl w:val="DF64A1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393A3589"/>
    <w:multiLevelType w:val="hybridMultilevel"/>
    <w:tmpl w:val="0A84DF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9791E6F"/>
    <w:multiLevelType w:val="hybridMultilevel"/>
    <w:tmpl w:val="A5AAFF7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B9D46B7"/>
    <w:multiLevelType w:val="hybridMultilevel"/>
    <w:tmpl w:val="4E8EF5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BA85B7C"/>
    <w:multiLevelType w:val="hybridMultilevel"/>
    <w:tmpl w:val="F9F837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8AE76E7"/>
    <w:multiLevelType w:val="hybridMultilevel"/>
    <w:tmpl w:val="97EE0D0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91F67EA"/>
    <w:multiLevelType w:val="hybridMultilevel"/>
    <w:tmpl w:val="AB428084"/>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EC65A29"/>
    <w:multiLevelType w:val="multilevel"/>
    <w:tmpl w:val="58E26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914FAE"/>
    <w:multiLevelType w:val="hybridMultilevel"/>
    <w:tmpl w:val="F2E251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55572EB9"/>
    <w:multiLevelType w:val="hybridMultilevel"/>
    <w:tmpl w:val="5B3C63B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nsid w:val="57290811"/>
    <w:multiLevelType w:val="multilevel"/>
    <w:tmpl w:val="2F288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F9436E"/>
    <w:multiLevelType w:val="hybridMultilevel"/>
    <w:tmpl w:val="34B2E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B894EFE"/>
    <w:multiLevelType w:val="hybridMultilevel"/>
    <w:tmpl w:val="35C2DE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5DE0326A"/>
    <w:multiLevelType w:val="hybridMultilevel"/>
    <w:tmpl w:val="EB0CAB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4AA1589"/>
    <w:multiLevelType w:val="hybridMultilevel"/>
    <w:tmpl w:val="D520A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654439AE"/>
    <w:multiLevelType w:val="hybridMultilevel"/>
    <w:tmpl w:val="E9FA9C0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65716F3B"/>
    <w:multiLevelType w:val="hybridMultilevel"/>
    <w:tmpl w:val="FE12B4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9023B37"/>
    <w:multiLevelType w:val="hybridMultilevel"/>
    <w:tmpl w:val="E0104C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085727A"/>
    <w:multiLevelType w:val="hybridMultilevel"/>
    <w:tmpl w:val="EE9A109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762B275E"/>
    <w:multiLevelType w:val="hybridMultilevel"/>
    <w:tmpl w:val="132C061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4"/>
  </w:num>
  <w:num w:numId="2">
    <w:abstractNumId w:val="27"/>
  </w:num>
  <w:num w:numId="3">
    <w:abstractNumId w:val="33"/>
  </w:num>
  <w:num w:numId="4">
    <w:abstractNumId w:val="12"/>
  </w:num>
  <w:num w:numId="5">
    <w:abstractNumId w:val="41"/>
  </w:num>
  <w:num w:numId="6">
    <w:abstractNumId w:val="6"/>
  </w:num>
  <w:num w:numId="7">
    <w:abstractNumId w:val="3"/>
  </w:num>
  <w:num w:numId="8">
    <w:abstractNumId w:val="0"/>
  </w:num>
  <w:num w:numId="9">
    <w:abstractNumId w:val="21"/>
  </w:num>
  <w:num w:numId="10">
    <w:abstractNumId w:val="38"/>
  </w:num>
  <w:num w:numId="11">
    <w:abstractNumId w:val="8"/>
  </w:num>
  <w:num w:numId="12">
    <w:abstractNumId w:val="5"/>
  </w:num>
  <w:num w:numId="13">
    <w:abstractNumId w:val="10"/>
  </w:num>
  <w:num w:numId="14">
    <w:abstractNumId w:val="1"/>
  </w:num>
  <w:num w:numId="15">
    <w:abstractNumId w:val="40"/>
  </w:num>
  <w:num w:numId="16">
    <w:abstractNumId w:val="26"/>
  </w:num>
  <w:num w:numId="17">
    <w:abstractNumId w:val="14"/>
  </w:num>
  <w:num w:numId="18">
    <w:abstractNumId w:val="42"/>
  </w:num>
  <w:num w:numId="19">
    <w:abstractNumId w:val="34"/>
  </w:num>
  <w:num w:numId="20">
    <w:abstractNumId w:val="37"/>
  </w:num>
  <w:num w:numId="21">
    <w:abstractNumId w:val="36"/>
  </w:num>
  <w:num w:numId="22">
    <w:abstractNumId w:val="39"/>
  </w:num>
  <w:num w:numId="23">
    <w:abstractNumId w:val="30"/>
  </w:num>
  <w:num w:numId="24">
    <w:abstractNumId w:val="13"/>
  </w:num>
  <w:num w:numId="25">
    <w:abstractNumId w:val="2"/>
  </w:num>
  <w:num w:numId="26">
    <w:abstractNumId w:val="35"/>
  </w:num>
  <w:num w:numId="27">
    <w:abstractNumId w:val="20"/>
  </w:num>
  <w:num w:numId="28">
    <w:abstractNumId w:val="18"/>
  </w:num>
  <w:num w:numId="29">
    <w:abstractNumId w:val="11"/>
  </w:num>
  <w:num w:numId="30">
    <w:abstractNumId w:val="29"/>
  </w:num>
  <w:num w:numId="31">
    <w:abstractNumId w:val="15"/>
  </w:num>
  <w:num w:numId="32">
    <w:abstractNumId w:val="32"/>
  </w:num>
  <w:num w:numId="33">
    <w:abstractNumId w:val="4"/>
  </w:num>
  <w:num w:numId="34">
    <w:abstractNumId w:val="23"/>
  </w:num>
  <w:num w:numId="35">
    <w:abstractNumId w:val="19"/>
  </w:num>
  <w:num w:numId="36">
    <w:abstractNumId w:val="25"/>
  </w:num>
  <w:num w:numId="37">
    <w:abstractNumId w:val="7"/>
  </w:num>
  <w:num w:numId="38">
    <w:abstractNumId w:val="17"/>
  </w:num>
  <w:num w:numId="39">
    <w:abstractNumId w:val="16"/>
  </w:num>
  <w:num w:numId="40">
    <w:abstractNumId w:val="9"/>
  </w:num>
  <w:num w:numId="41">
    <w:abstractNumId w:val="31"/>
  </w:num>
  <w:num w:numId="42">
    <w:abstractNumId w:val="28"/>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characterSpacingControl w:val="doNotCompress"/>
  <w:hdrShapeDefaults>
    <o:shapedefaults v:ext="edit" spidmax="757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F18"/>
    <w:rsid w:val="00021145"/>
    <w:rsid w:val="00021EB0"/>
    <w:rsid w:val="000248AB"/>
    <w:rsid w:val="0003382B"/>
    <w:rsid w:val="00042F8F"/>
    <w:rsid w:val="00056367"/>
    <w:rsid w:val="00065E89"/>
    <w:rsid w:val="00067979"/>
    <w:rsid w:val="0008142E"/>
    <w:rsid w:val="000912E9"/>
    <w:rsid w:val="00094503"/>
    <w:rsid w:val="000A0C8B"/>
    <w:rsid w:val="000B4256"/>
    <w:rsid w:val="000B632C"/>
    <w:rsid w:val="000C14D6"/>
    <w:rsid w:val="000C5C9B"/>
    <w:rsid w:val="000D1314"/>
    <w:rsid w:val="000D2625"/>
    <w:rsid w:val="000E0CA3"/>
    <w:rsid w:val="000F3433"/>
    <w:rsid w:val="000F36E0"/>
    <w:rsid w:val="000F6196"/>
    <w:rsid w:val="00100720"/>
    <w:rsid w:val="00121500"/>
    <w:rsid w:val="00122AD4"/>
    <w:rsid w:val="00131A1C"/>
    <w:rsid w:val="00133B73"/>
    <w:rsid w:val="00142693"/>
    <w:rsid w:val="00153614"/>
    <w:rsid w:val="001572D3"/>
    <w:rsid w:val="00167960"/>
    <w:rsid w:val="00183329"/>
    <w:rsid w:val="0019512F"/>
    <w:rsid w:val="001A1288"/>
    <w:rsid w:val="001B09BD"/>
    <w:rsid w:val="001B250F"/>
    <w:rsid w:val="001B52BE"/>
    <w:rsid w:val="001B6478"/>
    <w:rsid w:val="001C540A"/>
    <w:rsid w:val="001C62B6"/>
    <w:rsid w:val="001F7DC7"/>
    <w:rsid w:val="00201C3C"/>
    <w:rsid w:val="002067BD"/>
    <w:rsid w:val="00216E98"/>
    <w:rsid w:val="00220A3C"/>
    <w:rsid w:val="00227AF7"/>
    <w:rsid w:val="002349C6"/>
    <w:rsid w:val="00236BDA"/>
    <w:rsid w:val="002545C9"/>
    <w:rsid w:val="0026014A"/>
    <w:rsid w:val="002B1087"/>
    <w:rsid w:val="002B3432"/>
    <w:rsid w:val="002B6817"/>
    <w:rsid w:val="002C3C8E"/>
    <w:rsid w:val="002E01F3"/>
    <w:rsid w:val="002F5B10"/>
    <w:rsid w:val="003016EC"/>
    <w:rsid w:val="00305648"/>
    <w:rsid w:val="00322803"/>
    <w:rsid w:val="00333DFD"/>
    <w:rsid w:val="003343CC"/>
    <w:rsid w:val="003404CA"/>
    <w:rsid w:val="00353A4A"/>
    <w:rsid w:val="00355B1C"/>
    <w:rsid w:val="003577A2"/>
    <w:rsid w:val="00396C15"/>
    <w:rsid w:val="003A41EC"/>
    <w:rsid w:val="003B02D9"/>
    <w:rsid w:val="003B0F77"/>
    <w:rsid w:val="003B33AB"/>
    <w:rsid w:val="003C6944"/>
    <w:rsid w:val="003E244A"/>
    <w:rsid w:val="003E288D"/>
    <w:rsid w:val="00404476"/>
    <w:rsid w:val="004308C2"/>
    <w:rsid w:val="004349E6"/>
    <w:rsid w:val="0045272E"/>
    <w:rsid w:val="0045448C"/>
    <w:rsid w:val="00455B09"/>
    <w:rsid w:val="00462E1E"/>
    <w:rsid w:val="00463E45"/>
    <w:rsid w:val="00465CE8"/>
    <w:rsid w:val="0046752D"/>
    <w:rsid w:val="00473430"/>
    <w:rsid w:val="004901A3"/>
    <w:rsid w:val="00494071"/>
    <w:rsid w:val="004B4583"/>
    <w:rsid w:val="004C3E3F"/>
    <w:rsid w:val="004D72B7"/>
    <w:rsid w:val="004E13D1"/>
    <w:rsid w:val="004E5969"/>
    <w:rsid w:val="004F4D95"/>
    <w:rsid w:val="005015E4"/>
    <w:rsid w:val="00515909"/>
    <w:rsid w:val="00525998"/>
    <w:rsid w:val="00530B21"/>
    <w:rsid w:val="00542CB3"/>
    <w:rsid w:val="00546872"/>
    <w:rsid w:val="005513EF"/>
    <w:rsid w:val="0055598E"/>
    <w:rsid w:val="005652EA"/>
    <w:rsid w:val="00573DC9"/>
    <w:rsid w:val="005746E5"/>
    <w:rsid w:val="00592822"/>
    <w:rsid w:val="005B4958"/>
    <w:rsid w:val="005B7698"/>
    <w:rsid w:val="005B7D8B"/>
    <w:rsid w:val="005C410F"/>
    <w:rsid w:val="005C5BCD"/>
    <w:rsid w:val="005D5259"/>
    <w:rsid w:val="005E6BAE"/>
    <w:rsid w:val="005F4234"/>
    <w:rsid w:val="005F72B8"/>
    <w:rsid w:val="00617A97"/>
    <w:rsid w:val="00622259"/>
    <w:rsid w:val="00622FA1"/>
    <w:rsid w:val="006238EF"/>
    <w:rsid w:val="006403F3"/>
    <w:rsid w:val="006411D4"/>
    <w:rsid w:val="00643B36"/>
    <w:rsid w:val="00661704"/>
    <w:rsid w:val="006723F1"/>
    <w:rsid w:val="00674452"/>
    <w:rsid w:val="00680E48"/>
    <w:rsid w:val="0068413E"/>
    <w:rsid w:val="006A2167"/>
    <w:rsid w:val="006C033C"/>
    <w:rsid w:val="006C2150"/>
    <w:rsid w:val="006D4882"/>
    <w:rsid w:val="006F3164"/>
    <w:rsid w:val="007077CB"/>
    <w:rsid w:val="00724B1E"/>
    <w:rsid w:val="00724DDB"/>
    <w:rsid w:val="00732267"/>
    <w:rsid w:val="00734E9B"/>
    <w:rsid w:val="0073794C"/>
    <w:rsid w:val="00744BAA"/>
    <w:rsid w:val="00745D77"/>
    <w:rsid w:val="007528A3"/>
    <w:rsid w:val="00753F5A"/>
    <w:rsid w:val="007D295E"/>
    <w:rsid w:val="007D56D8"/>
    <w:rsid w:val="007F7205"/>
    <w:rsid w:val="008000B8"/>
    <w:rsid w:val="008220D6"/>
    <w:rsid w:val="0083785D"/>
    <w:rsid w:val="00846DA0"/>
    <w:rsid w:val="00853EB3"/>
    <w:rsid w:val="0085609C"/>
    <w:rsid w:val="00861CE6"/>
    <w:rsid w:val="00864215"/>
    <w:rsid w:val="00865CB4"/>
    <w:rsid w:val="0087597D"/>
    <w:rsid w:val="0087695C"/>
    <w:rsid w:val="00881EB4"/>
    <w:rsid w:val="00886448"/>
    <w:rsid w:val="00892896"/>
    <w:rsid w:val="00892F58"/>
    <w:rsid w:val="008A145A"/>
    <w:rsid w:val="008A7AED"/>
    <w:rsid w:val="008C2E3D"/>
    <w:rsid w:val="008D6445"/>
    <w:rsid w:val="008F6F18"/>
    <w:rsid w:val="00900D60"/>
    <w:rsid w:val="00903165"/>
    <w:rsid w:val="0091388F"/>
    <w:rsid w:val="00913AF8"/>
    <w:rsid w:val="00935348"/>
    <w:rsid w:val="00936D8A"/>
    <w:rsid w:val="0094187E"/>
    <w:rsid w:val="009509AB"/>
    <w:rsid w:val="009844D9"/>
    <w:rsid w:val="00987661"/>
    <w:rsid w:val="009A5419"/>
    <w:rsid w:val="009B080D"/>
    <w:rsid w:val="009C263A"/>
    <w:rsid w:val="009C7587"/>
    <w:rsid w:val="009D1C5C"/>
    <w:rsid w:val="009D7993"/>
    <w:rsid w:val="009F089C"/>
    <w:rsid w:val="009F10E3"/>
    <w:rsid w:val="00A04E54"/>
    <w:rsid w:val="00A05BA7"/>
    <w:rsid w:val="00A229B4"/>
    <w:rsid w:val="00A27D10"/>
    <w:rsid w:val="00A44D1F"/>
    <w:rsid w:val="00A647FC"/>
    <w:rsid w:val="00A76311"/>
    <w:rsid w:val="00A822DE"/>
    <w:rsid w:val="00AA1DDF"/>
    <w:rsid w:val="00AA7AC4"/>
    <w:rsid w:val="00AB43C6"/>
    <w:rsid w:val="00AB4BA4"/>
    <w:rsid w:val="00AD1652"/>
    <w:rsid w:val="00AF04FA"/>
    <w:rsid w:val="00AF1EE3"/>
    <w:rsid w:val="00AF7544"/>
    <w:rsid w:val="00B0567E"/>
    <w:rsid w:val="00B11E10"/>
    <w:rsid w:val="00B13E62"/>
    <w:rsid w:val="00B167B5"/>
    <w:rsid w:val="00B71AB1"/>
    <w:rsid w:val="00B82725"/>
    <w:rsid w:val="00BB562E"/>
    <w:rsid w:val="00BD3233"/>
    <w:rsid w:val="00BD40EB"/>
    <w:rsid w:val="00BE7731"/>
    <w:rsid w:val="00C0249D"/>
    <w:rsid w:val="00C026F8"/>
    <w:rsid w:val="00C30539"/>
    <w:rsid w:val="00C36728"/>
    <w:rsid w:val="00C4599D"/>
    <w:rsid w:val="00C465C7"/>
    <w:rsid w:val="00C47743"/>
    <w:rsid w:val="00C518DE"/>
    <w:rsid w:val="00C543F5"/>
    <w:rsid w:val="00C61BAA"/>
    <w:rsid w:val="00C61D7E"/>
    <w:rsid w:val="00C67781"/>
    <w:rsid w:val="00C723F8"/>
    <w:rsid w:val="00C733E6"/>
    <w:rsid w:val="00C75987"/>
    <w:rsid w:val="00C83CF3"/>
    <w:rsid w:val="00C944F8"/>
    <w:rsid w:val="00CC32ED"/>
    <w:rsid w:val="00CC7349"/>
    <w:rsid w:val="00CD021C"/>
    <w:rsid w:val="00CD097F"/>
    <w:rsid w:val="00CE3D7C"/>
    <w:rsid w:val="00CE6589"/>
    <w:rsid w:val="00CF5A18"/>
    <w:rsid w:val="00D02B47"/>
    <w:rsid w:val="00D058A8"/>
    <w:rsid w:val="00D20052"/>
    <w:rsid w:val="00D2507C"/>
    <w:rsid w:val="00D256C1"/>
    <w:rsid w:val="00D32681"/>
    <w:rsid w:val="00D327EA"/>
    <w:rsid w:val="00D34DBA"/>
    <w:rsid w:val="00D52B25"/>
    <w:rsid w:val="00D66A0F"/>
    <w:rsid w:val="00D9387B"/>
    <w:rsid w:val="00DA41CF"/>
    <w:rsid w:val="00DA51DD"/>
    <w:rsid w:val="00DB7CFB"/>
    <w:rsid w:val="00DD179F"/>
    <w:rsid w:val="00DD5022"/>
    <w:rsid w:val="00DE74CC"/>
    <w:rsid w:val="00DF07D0"/>
    <w:rsid w:val="00DF1176"/>
    <w:rsid w:val="00DF416D"/>
    <w:rsid w:val="00E05329"/>
    <w:rsid w:val="00E12B6C"/>
    <w:rsid w:val="00E3166C"/>
    <w:rsid w:val="00E62945"/>
    <w:rsid w:val="00E644B4"/>
    <w:rsid w:val="00E70432"/>
    <w:rsid w:val="00EA3911"/>
    <w:rsid w:val="00EB370A"/>
    <w:rsid w:val="00EC2549"/>
    <w:rsid w:val="00ED1FAE"/>
    <w:rsid w:val="00ED67C9"/>
    <w:rsid w:val="00EE2BE8"/>
    <w:rsid w:val="00EF2893"/>
    <w:rsid w:val="00F0664A"/>
    <w:rsid w:val="00F13694"/>
    <w:rsid w:val="00F300C0"/>
    <w:rsid w:val="00F3736C"/>
    <w:rsid w:val="00F40B9C"/>
    <w:rsid w:val="00F46E2C"/>
    <w:rsid w:val="00F554B4"/>
    <w:rsid w:val="00F75259"/>
    <w:rsid w:val="00F8035C"/>
    <w:rsid w:val="00F81683"/>
    <w:rsid w:val="00F84476"/>
    <w:rsid w:val="00FA1870"/>
    <w:rsid w:val="00FB13F6"/>
    <w:rsid w:val="00FB30E1"/>
    <w:rsid w:val="00FD3E92"/>
    <w:rsid w:val="00FE3D41"/>
    <w:rsid w:val="00FE4A50"/>
    <w:rsid w:val="00FF25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5777"/>
    <o:shapelayout v:ext="edit">
      <o:idmap v:ext="edit" data="1"/>
    </o:shapelayout>
  </w:shapeDefaults>
  <w:decimalSymbol w:val=","/>
  <w:listSeparator w:val=";"/>
  <w14:docId w14:val="1B9ADA8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semiHidden/>
    <w:unhideWhenUsed/>
    <w:qFormat/>
    <w:rsid w:val="0067445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892F58"/>
  </w:style>
  <w:style w:type="character" w:customStyle="1" w:styleId="berschrift3Zchn">
    <w:name w:val="Überschrift 3 Zchn"/>
    <w:basedOn w:val="Absatz-Standardschriftart"/>
    <w:link w:val="berschrift3"/>
    <w:uiPriority w:val="9"/>
    <w:semiHidden/>
    <w:rsid w:val="00674452"/>
    <w:rPr>
      <w:rFonts w:asciiTheme="majorHAnsi" w:eastAsiaTheme="majorEastAsia" w:hAnsiTheme="majorHAnsi" w:cstheme="majorBidi"/>
      <w:b/>
      <w:bCs/>
      <w:color w:val="4F81BD" w:themeColor="accent1"/>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817"/>
    <w:rPr>
      <w:sz w:val="20"/>
    </w:rPr>
  </w:style>
  <w:style w:type="paragraph" w:styleId="berschrift1">
    <w:name w:val="heading 1"/>
    <w:basedOn w:val="Standard"/>
    <w:next w:val="Standard"/>
    <w:link w:val="berschrift1Zchn"/>
    <w:uiPriority w:val="9"/>
    <w:qFormat/>
    <w:rsid w:val="009D1C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C733E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semiHidden/>
    <w:unhideWhenUsed/>
    <w:qFormat/>
    <w:rsid w:val="0067445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D327EA"/>
  </w:style>
  <w:style w:type="character" w:styleId="BesuchterHyperlink">
    <w:name w:val="FollowedHyperlink"/>
    <w:basedOn w:val="Absatz-Standardschriftart"/>
    <w:uiPriority w:val="99"/>
    <w:semiHidden/>
    <w:unhideWhenUsed/>
    <w:rsid w:val="0083785D"/>
    <w:rPr>
      <w:color w:val="800080" w:themeColor="followedHyperlink"/>
      <w:u w:val="single"/>
    </w:rPr>
  </w:style>
  <w:style w:type="paragraph" w:styleId="StandardWeb">
    <w:name w:val="Normal (Web)"/>
    <w:basedOn w:val="Standard"/>
    <w:uiPriority w:val="99"/>
    <w:unhideWhenUsed/>
    <w:rsid w:val="004E13D1"/>
    <w:pPr>
      <w:spacing w:before="100" w:beforeAutospacing="1" w:after="100" w:afterAutospacing="1"/>
    </w:pPr>
    <w:rPr>
      <w:rFonts w:ascii="Times New Roman" w:eastAsia="Times New Roman" w:hAnsi="Times New Roman" w:cs="Times New Roman"/>
    </w:rPr>
  </w:style>
  <w:style w:type="table" w:styleId="Tabellenraster">
    <w:name w:val="Table Grid"/>
    <w:basedOn w:val="NormaleTabelle"/>
    <w:uiPriority w:val="59"/>
    <w:rsid w:val="00C518DE"/>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erschrift2Zchn">
    <w:name w:val="Überschrift 2 Zchn"/>
    <w:basedOn w:val="Absatz-Standardschriftart"/>
    <w:link w:val="berschrift2"/>
    <w:uiPriority w:val="9"/>
    <w:rsid w:val="00C733E6"/>
    <w:rPr>
      <w:rFonts w:asciiTheme="majorHAnsi" w:eastAsiaTheme="majorEastAsia" w:hAnsiTheme="majorHAnsi" w:cstheme="majorBidi"/>
      <w:b/>
      <w:bCs/>
      <w:color w:val="4F81BD" w:themeColor="accent1"/>
      <w:sz w:val="26"/>
      <w:szCs w:val="26"/>
      <w:lang w:eastAsia="en-US"/>
    </w:rPr>
  </w:style>
  <w:style w:type="character" w:customStyle="1" w:styleId="berschrift1Zchn">
    <w:name w:val="Überschrift 1 Zchn"/>
    <w:basedOn w:val="Absatz-Standardschriftart"/>
    <w:link w:val="berschrift1"/>
    <w:uiPriority w:val="9"/>
    <w:rsid w:val="009D1C5C"/>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bsatz-Standardschriftart"/>
    <w:rsid w:val="00892F58"/>
  </w:style>
  <w:style w:type="character" w:customStyle="1" w:styleId="berschrift3Zchn">
    <w:name w:val="Überschrift 3 Zchn"/>
    <w:basedOn w:val="Absatz-Standardschriftart"/>
    <w:link w:val="berschrift3"/>
    <w:uiPriority w:val="9"/>
    <w:semiHidden/>
    <w:rsid w:val="00674452"/>
    <w:rPr>
      <w:rFonts w:asciiTheme="majorHAnsi" w:eastAsiaTheme="majorEastAsia" w:hAnsiTheme="majorHAnsi" w:cstheme="majorBidi"/>
      <w:b/>
      <w:bCs/>
      <w:color w:val="4F81BD" w:themeColor="accen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7659">
      <w:bodyDiv w:val="1"/>
      <w:marLeft w:val="0"/>
      <w:marRight w:val="0"/>
      <w:marTop w:val="0"/>
      <w:marBottom w:val="0"/>
      <w:divBdr>
        <w:top w:val="none" w:sz="0" w:space="0" w:color="auto"/>
        <w:left w:val="none" w:sz="0" w:space="0" w:color="auto"/>
        <w:bottom w:val="none" w:sz="0" w:space="0" w:color="auto"/>
        <w:right w:val="none" w:sz="0" w:space="0" w:color="auto"/>
      </w:divBdr>
    </w:div>
    <w:div w:id="179510472">
      <w:bodyDiv w:val="1"/>
      <w:marLeft w:val="0"/>
      <w:marRight w:val="0"/>
      <w:marTop w:val="0"/>
      <w:marBottom w:val="0"/>
      <w:divBdr>
        <w:top w:val="none" w:sz="0" w:space="0" w:color="auto"/>
        <w:left w:val="none" w:sz="0" w:space="0" w:color="auto"/>
        <w:bottom w:val="none" w:sz="0" w:space="0" w:color="auto"/>
        <w:right w:val="none" w:sz="0" w:space="0" w:color="auto"/>
      </w:divBdr>
    </w:div>
    <w:div w:id="434790331">
      <w:bodyDiv w:val="1"/>
      <w:marLeft w:val="0"/>
      <w:marRight w:val="0"/>
      <w:marTop w:val="0"/>
      <w:marBottom w:val="0"/>
      <w:divBdr>
        <w:top w:val="none" w:sz="0" w:space="0" w:color="auto"/>
        <w:left w:val="none" w:sz="0" w:space="0" w:color="auto"/>
        <w:bottom w:val="none" w:sz="0" w:space="0" w:color="auto"/>
        <w:right w:val="none" w:sz="0" w:space="0" w:color="auto"/>
      </w:divBdr>
    </w:div>
    <w:div w:id="639118340">
      <w:bodyDiv w:val="1"/>
      <w:marLeft w:val="0"/>
      <w:marRight w:val="0"/>
      <w:marTop w:val="0"/>
      <w:marBottom w:val="0"/>
      <w:divBdr>
        <w:top w:val="none" w:sz="0" w:space="0" w:color="auto"/>
        <w:left w:val="none" w:sz="0" w:space="0" w:color="auto"/>
        <w:bottom w:val="none" w:sz="0" w:space="0" w:color="auto"/>
        <w:right w:val="none" w:sz="0" w:space="0" w:color="auto"/>
      </w:divBdr>
    </w:div>
    <w:div w:id="640231343">
      <w:bodyDiv w:val="1"/>
      <w:marLeft w:val="0"/>
      <w:marRight w:val="0"/>
      <w:marTop w:val="0"/>
      <w:marBottom w:val="0"/>
      <w:divBdr>
        <w:top w:val="none" w:sz="0" w:space="0" w:color="auto"/>
        <w:left w:val="none" w:sz="0" w:space="0" w:color="auto"/>
        <w:bottom w:val="none" w:sz="0" w:space="0" w:color="auto"/>
        <w:right w:val="none" w:sz="0" w:space="0" w:color="auto"/>
      </w:divBdr>
    </w:div>
    <w:div w:id="669793283">
      <w:bodyDiv w:val="1"/>
      <w:marLeft w:val="0"/>
      <w:marRight w:val="0"/>
      <w:marTop w:val="0"/>
      <w:marBottom w:val="0"/>
      <w:divBdr>
        <w:top w:val="none" w:sz="0" w:space="0" w:color="auto"/>
        <w:left w:val="none" w:sz="0" w:space="0" w:color="auto"/>
        <w:bottom w:val="none" w:sz="0" w:space="0" w:color="auto"/>
        <w:right w:val="none" w:sz="0" w:space="0" w:color="auto"/>
      </w:divBdr>
    </w:div>
    <w:div w:id="853113999">
      <w:bodyDiv w:val="1"/>
      <w:marLeft w:val="0"/>
      <w:marRight w:val="0"/>
      <w:marTop w:val="0"/>
      <w:marBottom w:val="0"/>
      <w:divBdr>
        <w:top w:val="none" w:sz="0" w:space="0" w:color="auto"/>
        <w:left w:val="none" w:sz="0" w:space="0" w:color="auto"/>
        <w:bottom w:val="none" w:sz="0" w:space="0" w:color="auto"/>
        <w:right w:val="none" w:sz="0" w:space="0" w:color="auto"/>
      </w:divBdr>
    </w:div>
    <w:div w:id="883450241">
      <w:bodyDiv w:val="1"/>
      <w:marLeft w:val="0"/>
      <w:marRight w:val="0"/>
      <w:marTop w:val="0"/>
      <w:marBottom w:val="0"/>
      <w:divBdr>
        <w:top w:val="none" w:sz="0" w:space="0" w:color="auto"/>
        <w:left w:val="none" w:sz="0" w:space="0" w:color="auto"/>
        <w:bottom w:val="none" w:sz="0" w:space="0" w:color="auto"/>
        <w:right w:val="none" w:sz="0" w:space="0" w:color="auto"/>
      </w:divBdr>
    </w:div>
    <w:div w:id="954944775">
      <w:bodyDiv w:val="1"/>
      <w:marLeft w:val="0"/>
      <w:marRight w:val="0"/>
      <w:marTop w:val="0"/>
      <w:marBottom w:val="0"/>
      <w:divBdr>
        <w:top w:val="none" w:sz="0" w:space="0" w:color="auto"/>
        <w:left w:val="none" w:sz="0" w:space="0" w:color="auto"/>
        <w:bottom w:val="none" w:sz="0" w:space="0" w:color="auto"/>
        <w:right w:val="none" w:sz="0" w:space="0" w:color="auto"/>
      </w:divBdr>
    </w:div>
    <w:div w:id="1111168550">
      <w:bodyDiv w:val="1"/>
      <w:marLeft w:val="0"/>
      <w:marRight w:val="0"/>
      <w:marTop w:val="0"/>
      <w:marBottom w:val="0"/>
      <w:divBdr>
        <w:top w:val="none" w:sz="0" w:space="0" w:color="auto"/>
        <w:left w:val="none" w:sz="0" w:space="0" w:color="auto"/>
        <w:bottom w:val="none" w:sz="0" w:space="0" w:color="auto"/>
        <w:right w:val="none" w:sz="0" w:space="0" w:color="auto"/>
      </w:divBdr>
    </w:div>
    <w:div w:id="1148865428">
      <w:bodyDiv w:val="1"/>
      <w:marLeft w:val="0"/>
      <w:marRight w:val="0"/>
      <w:marTop w:val="0"/>
      <w:marBottom w:val="0"/>
      <w:divBdr>
        <w:top w:val="none" w:sz="0" w:space="0" w:color="auto"/>
        <w:left w:val="none" w:sz="0" w:space="0" w:color="auto"/>
        <w:bottom w:val="none" w:sz="0" w:space="0" w:color="auto"/>
        <w:right w:val="none" w:sz="0" w:space="0" w:color="auto"/>
      </w:divBdr>
    </w:div>
    <w:div w:id="1218936635">
      <w:bodyDiv w:val="1"/>
      <w:marLeft w:val="0"/>
      <w:marRight w:val="0"/>
      <w:marTop w:val="0"/>
      <w:marBottom w:val="0"/>
      <w:divBdr>
        <w:top w:val="none" w:sz="0" w:space="0" w:color="auto"/>
        <w:left w:val="none" w:sz="0" w:space="0" w:color="auto"/>
        <w:bottom w:val="none" w:sz="0" w:space="0" w:color="auto"/>
        <w:right w:val="none" w:sz="0" w:space="0" w:color="auto"/>
      </w:divBdr>
    </w:div>
    <w:div w:id="1245795280">
      <w:bodyDiv w:val="1"/>
      <w:marLeft w:val="0"/>
      <w:marRight w:val="0"/>
      <w:marTop w:val="0"/>
      <w:marBottom w:val="0"/>
      <w:divBdr>
        <w:top w:val="none" w:sz="0" w:space="0" w:color="auto"/>
        <w:left w:val="none" w:sz="0" w:space="0" w:color="auto"/>
        <w:bottom w:val="none" w:sz="0" w:space="0" w:color="auto"/>
        <w:right w:val="none" w:sz="0" w:space="0" w:color="auto"/>
      </w:divBdr>
    </w:div>
    <w:div w:id="1353262668">
      <w:bodyDiv w:val="1"/>
      <w:marLeft w:val="0"/>
      <w:marRight w:val="0"/>
      <w:marTop w:val="0"/>
      <w:marBottom w:val="0"/>
      <w:divBdr>
        <w:top w:val="none" w:sz="0" w:space="0" w:color="auto"/>
        <w:left w:val="none" w:sz="0" w:space="0" w:color="auto"/>
        <w:bottom w:val="none" w:sz="0" w:space="0" w:color="auto"/>
        <w:right w:val="none" w:sz="0" w:space="0" w:color="auto"/>
      </w:divBdr>
    </w:div>
    <w:div w:id="1394043652">
      <w:bodyDiv w:val="1"/>
      <w:marLeft w:val="0"/>
      <w:marRight w:val="0"/>
      <w:marTop w:val="0"/>
      <w:marBottom w:val="0"/>
      <w:divBdr>
        <w:top w:val="none" w:sz="0" w:space="0" w:color="auto"/>
        <w:left w:val="none" w:sz="0" w:space="0" w:color="auto"/>
        <w:bottom w:val="none" w:sz="0" w:space="0" w:color="auto"/>
        <w:right w:val="none" w:sz="0" w:space="0" w:color="auto"/>
      </w:divBdr>
    </w:div>
    <w:div w:id="1479491942">
      <w:bodyDiv w:val="1"/>
      <w:marLeft w:val="0"/>
      <w:marRight w:val="0"/>
      <w:marTop w:val="0"/>
      <w:marBottom w:val="0"/>
      <w:divBdr>
        <w:top w:val="none" w:sz="0" w:space="0" w:color="auto"/>
        <w:left w:val="none" w:sz="0" w:space="0" w:color="auto"/>
        <w:bottom w:val="none" w:sz="0" w:space="0" w:color="auto"/>
        <w:right w:val="none" w:sz="0" w:space="0" w:color="auto"/>
      </w:divBdr>
    </w:div>
    <w:div w:id="1486357670">
      <w:bodyDiv w:val="1"/>
      <w:marLeft w:val="0"/>
      <w:marRight w:val="0"/>
      <w:marTop w:val="0"/>
      <w:marBottom w:val="0"/>
      <w:divBdr>
        <w:top w:val="none" w:sz="0" w:space="0" w:color="auto"/>
        <w:left w:val="none" w:sz="0" w:space="0" w:color="auto"/>
        <w:bottom w:val="none" w:sz="0" w:space="0" w:color="auto"/>
        <w:right w:val="none" w:sz="0" w:space="0" w:color="auto"/>
      </w:divBdr>
    </w:div>
    <w:div w:id="1536432534">
      <w:bodyDiv w:val="1"/>
      <w:marLeft w:val="0"/>
      <w:marRight w:val="0"/>
      <w:marTop w:val="0"/>
      <w:marBottom w:val="0"/>
      <w:divBdr>
        <w:top w:val="none" w:sz="0" w:space="0" w:color="auto"/>
        <w:left w:val="none" w:sz="0" w:space="0" w:color="auto"/>
        <w:bottom w:val="none" w:sz="0" w:space="0" w:color="auto"/>
        <w:right w:val="none" w:sz="0" w:space="0" w:color="auto"/>
      </w:divBdr>
    </w:div>
    <w:div w:id="1609194525">
      <w:bodyDiv w:val="1"/>
      <w:marLeft w:val="0"/>
      <w:marRight w:val="0"/>
      <w:marTop w:val="0"/>
      <w:marBottom w:val="0"/>
      <w:divBdr>
        <w:top w:val="none" w:sz="0" w:space="0" w:color="auto"/>
        <w:left w:val="none" w:sz="0" w:space="0" w:color="auto"/>
        <w:bottom w:val="none" w:sz="0" w:space="0" w:color="auto"/>
        <w:right w:val="none" w:sz="0" w:space="0" w:color="auto"/>
      </w:divBdr>
    </w:div>
    <w:div w:id="1687251222">
      <w:bodyDiv w:val="1"/>
      <w:marLeft w:val="0"/>
      <w:marRight w:val="0"/>
      <w:marTop w:val="0"/>
      <w:marBottom w:val="0"/>
      <w:divBdr>
        <w:top w:val="none" w:sz="0" w:space="0" w:color="auto"/>
        <w:left w:val="none" w:sz="0" w:space="0" w:color="auto"/>
        <w:bottom w:val="none" w:sz="0" w:space="0" w:color="auto"/>
        <w:right w:val="none" w:sz="0" w:space="0" w:color="auto"/>
      </w:divBdr>
    </w:div>
    <w:div w:id="1926916801">
      <w:bodyDiv w:val="1"/>
      <w:marLeft w:val="0"/>
      <w:marRight w:val="0"/>
      <w:marTop w:val="0"/>
      <w:marBottom w:val="0"/>
      <w:divBdr>
        <w:top w:val="none" w:sz="0" w:space="0" w:color="auto"/>
        <w:left w:val="none" w:sz="0" w:space="0" w:color="auto"/>
        <w:bottom w:val="none" w:sz="0" w:space="0" w:color="auto"/>
        <w:right w:val="none" w:sz="0" w:space="0" w:color="auto"/>
      </w:divBdr>
    </w:div>
    <w:div w:id="1973778811">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26ECD-7562-489E-8B98-40336DEBA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1273</Words>
  <Characters>8023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6</cp:revision>
  <cp:lastPrinted>2014-09-27T17:09:00Z</cp:lastPrinted>
  <dcterms:created xsi:type="dcterms:W3CDTF">2014-09-27T13:18:00Z</dcterms:created>
  <dcterms:modified xsi:type="dcterms:W3CDTF">2014-09-27T17:26:00Z</dcterms:modified>
</cp:coreProperties>
</file>