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24A77910" w:rsidR="00065E89" w:rsidRDefault="000B6820" w:rsidP="007F744C">
      <w:pPr>
        <w:pStyle w:val="berschrift2"/>
        <w:rPr>
          <w:rFonts w:ascii="Cambria" w:hAnsi="Cambria"/>
          <w:b/>
          <w:bCs/>
          <w:sz w:val="32"/>
        </w:rPr>
      </w:pPr>
      <w:hyperlink r:id="rId8" w:history="1">
        <w:r w:rsidR="00767C93" w:rsidRPr="00F80348">
          <w:rPr>
            <w:rStyle w:val="Hyperlink"/>
            <w:rFonts w:ascii="Cambria" w:hAnsi="Cambria"/>
            <w:sz w:val="28"/>
            <w:szCs w:val="28"/>
            <w:u w:val="none"/>
          </w:rPr>
          <w:t>Lesestrategie</w:t>
        </w:r>
        <w:r w:rsidR="00F80348" w:rsidRPr="00F80348">
          <w:rPr>
            <w:rStyle w:val="Hyperlink"/>
            <w:rFonts w:ascii="Cambria" w:hAnsi="Cambria"/>
            <w:sz w:val="28"/>
            <w:szCs w:val="28"/>
            <w:u w:val="none"/>
          </w:rPr>
          <w:t>n</w:t>
        </w:r>
      </w:hyperlink>
      <w:r w:rsidR="00B843EB">
        <w:rPr>
          <w:rFonts w:ascii="Cambria" w:hAnsi="Cambria"/>
          <w:sz w:val="32"/>
        </w:rPr>
        <w:br/>
      </w:r>
      <w:r w:rsidR="00943785">
        <w:rPr>
          <w:rFonts w:ascii="Cambria" w:hAnsi="Cambria"/>
          <w:b/>
          <w:bCs/>
          <w:sz w:val="32"/>
        </w:rPr>
        <w:t>MURDER-Schema</w:t>
      </w:r>
    </w:p>
    <w:p w14:paraId="500AC2BE" w14:textId="1A1D9073" w:rsidR="00F0664A" w:rsidRPr="003C698F" w:rsidRDefault="009A1099" w:rsidP="004F4668">
      <w:pPr>
        <w:spacing w:after="120"/>
        <w:rPr>
          <w:sz w:val="12"/>
        </w:rPr>
      </w:pPr>
      <w:r w:rsidRPr="009A1099">
        <w:rPr>
          <w:rFonts w:ascii="Cambria" w:eastAsiaTheme="majorEastAsia" w:hAnsi="Cambria" w:cstheme="majorBidi"/>
          <w:color w:val="365F91" w:themeColor="accent1" w:themeShade="BF"/>
          <w:szCs w:val="22"/>
        </w:rPr>
        <w:t>Thomas und Robinson (1972)</w:t>
      </w:r>
    </w:p>
    <w:p w14:paraId="16C1D9C7" w14:textId="0D410503" w:rsidR="00943785" w:rsidRPr="00943785" w:rsidRDefault="00943785" w:rsidP="00943785">
      <w:pPr>
        <w:rPr>
          <w:rFonts w:eastAsia="Times New Roman" w:cs="Times New Roman"/>
        </w:rPr>
      </w:pPr>
      <w:hyperlink r:id="rId9" w:history="1">
        <w:r w:rsidRPr="00943785">
          <w:rPr>
            <w:rFonts w:eastAsia="Times New Roman" w:cs="Times New Roman"/>
            <w:noProof/>
          </w:rPr>
          <mc:AlternateContent>
            <mc:Choice Requires="wps">
              <w:drawing>
                <wp:anchor distT="57150" distB="57150" distL="57150" distR="57150" simplePos="0" relativeHeight="251659264" behindDoc="0" locked="0" layoutInCell="1" allowOverlap="0" wp14:anchorId="799D976B" wp14:editId="2DC6D6E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676275" cy="219075"/>
                  <wp:effectExtent l="0" t="0" r="0" b="0"/>
                  <wp:wrapSquare wrapText="bothSides"/>
                  <wp:docPr id="2" name="AutoShap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316D62" id="AutoShape 4" o:spid="_x0000_s1026" href="https://www.teachsam.de/pdf/arb_les_murder.pdf" style="position:absolute;margin-left:2.05pt;margin-top:0;width:53.25pt;height:17.25pt;z-index:251659264;visibility:visible;mso-wrap-style:square;mso-width-percent:0;mso-height-percent:0;mso-wrap-distance-left:4.5pt;mso-wrap-distance-top:4.5pt;mso-wrap-distance-right:4.5pt;mso-wrap-distance-bottom:4.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BC28AC">
        <w:rPr>
          <w:rFonts w:eastAsia="Times New Roman" w:cs="Times New Roman"/>
        </w:rPr>
        <w:t xml:space="preserve">Das von </w:t>
      </w:r>
      <w:hyperlink r:id="rId10" w:anchor="Dansereau, D. u.a. (1979)" w:history="1">
        <w:r w:rsidRPr="00943785">
          <w:rPr>
            <w:rFonts w:eastAsia="Times New Roman" w:cs="Times New Roman"/>
            <w:color w:val="0000FF"/>
          </w:rPr>
          <w:t>Danserau u.a. (1979)</w:t>
        </w:r>
      </w:hyperlink>
      <w:r w:rsidRPr="00943785">
        <w:rPr>
          <w:rFonts w:eastAsia="Times New Roman" w:cs="Times New Roman"/>
        </w:rPr>
        <w:t xml:space="preserve"> </w:t>
      </w:r>
      <w:r w:rsidR="00BC28AC">
        <w:rPr>
          <w:rFonts w:eastAsia="Times New Roman" w:cs="Times New Roman"/>
        </w:rPr>
        <w:t>entwickelte</w:t>
      </w:r>
      <w:r w:rsidRPr="00943785">
        <w:rPr>
          <w:rFonts w:eastAsia="Times New Roman" w:cs="Times New Roman"/>
        </w:rPr>
        <w:t xml:space="preserve"> </w:t>
      </w:r>
      <w:r w:rsidRPr="00943785">
        <w:rPr>
          <w:rFonts w:eastAsia="Times New Roman" w:cs="Times New Roman"/>
          <w:b/>
          <w:bCs/>
        </w:rPr>
        <w:t>MURDER-Schema</w:t>
      </w:r>
      <w:r w:rsidRPr="00943785">
        <w:rPr>
          <w:rFonts w:eastAsia="Times New Roman" w:cs="Times New Roman"/>
        </w:rPr>
        <w:t xml:space="preserve"> (benannt nach den Anfangsbuchstaben der Arbeitsschritte!) </w:t>
      </w:r>
      <w:r w:rsidR="00BC28AC">
        <w:rPr>
          <w:rFonts w:eastAsia="Times New Roman" w:cs="Times New Roman"/>
        </w:rPr>
        <w:t>stellt eine Weiterenwicklung</w:t>
      </w:r>
      <w:r w:rsidR="00BC28AC" w:rsidRPr="00943785">
        <w:rPr>
          <w:rFonts w:eastAsia="Times New Roman" w:cs="Times New Roman"/>
        </w:rPr>
        <w:t xml:space="preserve"> </w:t>
      </w:r>
      <w:r w:rsidR="00BC28AC">
        <w:rPr>
          <w:rFonts w:eastAsia="Times New Roman" w:cs="Times New Roman"/>
        </w:rPr>
        <w:t xml:space="preserve">der </w:t>
      </w:r>
      <w:hyperlink r:id="rId11" w:history="1">
        <w:r w:rsidR="00BC28AC" w:rsidRPr="00943785">
          <w:rPr>
            <w:rFonts w:eastAsia="Times New Roman" w:cs="Times New Roman"/>
            <w:color w:val="0000FF"/>
          </w:rPr>
          <w:t>SQ3R-Technik</w:t>
        </w:r>
      </w:hyperlink>
      <w:r w:rsidR="00BC28AC">
        <w:rPr>
          <w:rFonts w:eastAsia="Times New Roman" w:cs="Times New Roman"/>
        </w:rPr>
        <w:t xml:space="preserve"> dar</w:t>
      </w:r>
      <w:r w:rsidRPr="00943785">
        <w:rPr>
          <w:rFonts w:eastAsia="Times New Roman" w:cs="Times New Roman"/>
        </w:rPr>
        <w:t xml:space="preserve">. Bei dieser </w:t>
      </w:r>
      <w:hyperlink r:id="rId12" w:history="1">
        <w:r w:rsidRPr="00943785">
          <w:rPr>
            <w:rFonts w:eastAsia="Times New Roman" w:cs="Times New Roman"/>
            <w:color w:val="0000FF"/>
          </w:rPr>
          <w:t>Lesestrategie</w:t>
        </w:r>
      </w:hyperlink>
      <w:r w:rsidRPr="00943785">
        <w:rPr>
          <w:rFonts w:eastAsia="Times New Roman" w:cs="Times New Roman"/>
        </w:rPr>
        <w:t xml:space="preserve"> werden Primär- und Sekundärstrategien unterschieden. </w:t>
      </w:r>
    </w:p>
    <w:p w14:paraId="25CC7179" w14:textId="6637E66E" w:rsidR="00943785" w:rsidRPr="00BC28AC" w:rsidRDefault="00943785" w:rsidP="00BC28AC">
      <w:pPr>
        <w:numPr>
          <w:ilvl w:val="0"/>
          <w:numId w:val="35"/>
        </w:numPr>
        <w:tabs>
          <w:tab w:val="clear" w:pos="720"/>
          <w:tab w:val="num" w:pos="426"/>
        </w:tabs>
        <w:spacing w:before="60"/>
        <w:ind w:left="425" w:hanging="357"/>
        <w:rPr>
          <w:rFonts w:eastAsia="Times New Roman" w:cs="Times New Roman"/>
          <w:sz w:val="22"/>
          <w:szCs w:val="22"/>
        </w:rPr>
      </w:pPr>
      <w:r w:rsidRPr="00943785">
        <w:rPr>
          <w:rFonts w:eastAsia="Times New Roman" w:cs="Times New Roman"/>
          <w:b/>
          <w:bCs/>
          <w:sz w:val="22"/>
          <w:szCs w:val="22"/>
        </w:rPr>
        <w:t>Primärstrategien</w:t>
      </w:r>
      <w:r w:rsidRPr="00943785">
        <w:rPr>
          <w:rFonts w:eastAsia="Times New Roman" w:cs="Times New Roman"/>
          <w:sz w:val="22"/>
          <w:szCs w:val="22"/>
        </w:rPr>
        <w:t xml:space="preserve"> haben einen unmittelbaren Einfluss auf die Verarbeitung von Informationen (verstehen, behalten ...)</w:t>
      </w:r>
    </w:p>
    <w:p w14:paraId="71F34664" w14:textId="781CF900" w:rsidR="00943785" w:rsidRPr="00BC28AC" w:rsidRDefault="00943785" w:rsidP="00BC28AC">
      <w:pPr>
        <w:numPr>
          <w:ilvl w:val="0"/>
          <w:numId w:val="35"/>
        </w:numPr>
        <w:tabs>
          <w:tab w:val="clear" w:pos="720"/>
          <w:tab w:val="num" w:pos="426"/>
        </w:tabs>
        <w:ind w:left="426"/>
        <w:rPr>
          <w:rFonts w:eastAsia="Times New Roman" w:cs="Times New Roman"/>
          <w:sz w:val="22"/>
          <w:szCs w:val="22"/>
        </w:rPr>
        <w:sectPr w:rsidR="00943785" w:rsidRPr="00BC28AC" w:rsidSect="003016EC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943785">
        <w:rPr>
          <w:rFonts w:eastAsia="Times New Roman" w:cs="Times New Roman"/>
          <w:b/>
          <w:bCs/>
          <w:sz w:val="22"/>
          <w:szCs w:val="22"/>
        </w:rPr>
        <w:t>Sekundärstrategien</w:t>
      </w:r>
      <w:r w:rsidRPr="00943785">
        <w:rPr>
          <w:rFonts w:eastAsia="Times New Roman" w:cs="Times New Roman"/>
          <w:sz w:val="22"/>
          <w:szCs w:val="22"/>
        </w:rPr>
        <w:t xml:space="preserve"> dienen als Selbststeuerungsaktivitäten zur Stützung des Lernen</w:t>
      </w:r>
      <w:r w:rsidR="00BC28AC">
        <w:rPr>
          <w:rFonts w:eastAsia="Times New Roman" w:cs="Times New Roman"/>
          <w:sz w:val="22"/>
          <w:szCs w:val="22"/>
        </w:rPr>
        <w:t>s.</w:t>
      </w:r>
    </w:p>
    <w:p w14:paraId="55479818" w14:textId="513AF6B7" w:rsidR="00943785" w:rsidRPr="00BC28AC" w:rsidRDefault="00943785" w:rsidP="00BC28AC">
      <w:pPr>
        <w:spacing w:after="100"/>
        <w:jc w:val="both"/>
        <w:rPr>
          <w:rFonts w:asciiTheme="majorHAnsi" w:hAnsiTheme="majorHAnsi" w:cs="DJIEMM+Verdana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02"/>
        <w:gridCol w:w="218"/>
        <w:gridCol w:w="4345"/>
      </w:tblGrid>
      <w:tr w:rsidR="00943785" w14:paraId="18482F34" w14:textId="77777777" w:rsidTr="00BC28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2A2B1" w14:textId="77777777" w:rsidR="00943785" w:rsidRPr="00BC28AC" w:rsidRDefault="00943785" w:rsidP="00BC28AC">
            <w:pPr>
              <w:spacing w:before="120" w:after="120"/>
              <w:ind w:left="170" w:right="170"/>
              <w:jc w:val="center"/>
              <w:rPr>
                <w:rFonts w:asciiTheme="majorHAnsi" w:hAnsiTheme="majorHAnsi" w:cs="DJIENI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Primärstrategien </w:t>
            </w:r>
          </w:p>
        </w:tc>
      </w:tr>
      <w:tr w:rsidR="00943785" w14:paraId="7728C0B2" w14:textId="77777777" w:rsidTr="00BC28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9BA2" w14:textId="77777777" w:rsidR="00943785" w:rsidRPr="00BC28AC" w:rsidRDefault="00943785" w:rsidP="00BC28AC">
            <w:pPr>
              <w:spacing w:before="120" w:after="120"/>
              <w:ind w:left="170" w:right="170"/>
              <w:jc w:val="center"/>
              <w:rPr>
                <w:rFonts w:asciiTheme="majorHAnsi" w:hAnsiTheme="majorHAnsi" w:cs="DJIENI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Verstehensstrategien 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631A" w14:textId="77777777" w:rsidR="00943785" w:rsidRPr="00BC28AC" w:rsidRDefault="00943785" w:rsidP="00BC28AC">
            <w:pPr>
              <w:spacing w:before="120" w:after="120"/>
              <w:ind w:left="170" w:right="170"/>
              <w:jc w:val="center"/>
              <w:rPr>
                <w:rFonts w:asciiTheme="majorHAnsi" w:hAnsiTheme="majorHAnsi" w:cs="DJIENI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Abruf- u. Anwendungsstrategien </w:t>
            </w:r>
          </w:p>
        </w:tc>
      </w:tr>
      <w:tr w:rsidR="00943785" w14:paraId="1726B95A" w14:textId="77777777" w:rsidTr="00BC28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E36" w14:textId="17006A1B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setting the </w:t>
            </w: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m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ood to study</w:t>
            </w:r>
            <w:r w:rsidR="00EF3287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Lernbereitschaft (Motivation) und geeignete Lernatmosphäre herstellen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21011" w14:textId="77777777" w:rsidR="00943785" w:rsidRPr="00BC28AC" w:rsidRDefault="00943785" w:rsidP="00BC28AC">
            <w:pPr>
              <w:pStyle w:val="berschrift2"/>
              <w:spacing w:before="120" w:after="120"/>
              <w:ind w:left="170" w:right="170"/>
              <w:jc w:val="center"/>
              <w:rPr>
                <w:rFonts w:cs="DJIFAD+Verdana"/>
                <w:color w:val="FF0000"/>
                <w:sz w:val="22"/>
                <w:szCs w:val="22"/>
              </w:rPr>
            </w:pPr>
            <w:r w:rsidRPr="00BC28AC">
              <w:rPr>
                <w:rFonts w:cs="DJIFAD+Verdana"/>
                <w:b/>
                <w:bCs/>
                <w:i/>
                <w:iCs/>
                <w:color w:val="FF0000"/>
                <w:sz w:val="22"/>
                <w:szCs w:val="22"/>
              </w:rPr>
              <w:t xml:space="preserve">M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3F27" w14:textId="18552F33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setting the </w:t>
            </w: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m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ood</w:t>
            </w:r>
            <w:r w:rsidR="00EF3287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geeignete Lernatmosphäre herstellen </w:t>
            </w:r>
          </w:p>
        </w:tc>
      </w:tr>
      <w:tr w:rsidR="00943785" w:rsidRPr="00943785" w14:paraId="6CBFC94B" w14:textId="77777777" w:rsidTr="00BC28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60AD" w14:textId="05F35897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reading for </w:t>
            </w: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u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nderstanding</w:t>
            </w:r>
            <w:r w:rsidR="00EF3287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auf Textverstehen ausgerichtetes Lesen, Unwichtiges von Wichtigem unterscheiden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6A26B" w14:textId="77777777" w:rsidR="00943785" w:rsidRPr="00BC28AC" w:rsidRDefault="00943785" w:rsidP="00BC28AC">
            <w:pPr>
              <w:pStyle w:val="berschrift2"/>
              <w:spacing w:before="120" w:after="120"/>
              <w:ind w:left="170" w:right="170"/>
              <w:jc w:val="center"/>
              <w:rPr>
                <w:rFonts w:cs="DJIFAD+Verdana"/>
                <w:color w:val="FF0000"/>
                <w:sz w:val="22"/>
                <w:szCs w:val="22"/>
              </w:rPr>
            </w:pPr>
            <w:r w:rsidRPr="00BC28AC">
              <w:rPr>
                <w:rFonts w:cs="DJIFAD+Verdana"/>
                <w:b/>
                <w:bCs/>
                <w:i/>
                <w:iCs/>
                <w:color w:val="FF0000"/>
                <w:sz w:val="22"/>
                <w:szCs w:val="22"/>
              </w:rPr>
              <w:t xml:space="preserve">U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6FC" w14:textId="30C889A4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  <w:lang w:val="en-US"/>
              </w:rPr>
            </w:pP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  <w:lang w:val="en-US"/>
              </w:rPr>
              <w:t>u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  <w:lang w:val="en-US"/>
              </w:rPr>
              <w:t>nderstanding the requirements of the task</w:t>
            </w:r>
            <w:r w:rsidR="00EF3287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  <w:lang w:val="en-US"/>
              </w:rPr>
              <w:t xml:space="preserve">Aufgabenstellung analysieren </w:t>
            </w:r>
          </w:p>
        </w:tc>
      </w:tr>
      <w:tr w:rsidR="00943785" w14:paraId="2CFFF0AC" w14:textId="77777777" w:rsidTr="00BC28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17C" w14:textId="3BCEF916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r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ecalling the material</w:t>
            </w:r>
            <w:r w:rsidR="00EF3287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vom Text losgelöste Wiedergabe des Inhalts mit eigenen Worten, paraphrasieren, bildhafte Vorstellungen erzeugen, graphische Veranschaulichungen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406D" w14:textId="77777777" w:rsidR="00943785" w:rsidRPr="00BC28AC" w:rsidRDefault="00943785" w:rsidP="00BC28AC">
            <w:pPr>
              <w:pStyle w:val="berschrift2"/>
              <w:spacing w:before="120" w:after="120"/>
              <w:ind w:left="170" w:right="170"/>
              <w:jc w:val="center"/>
              <w:rPr>
                <w:rFonts w:cs="DJIFAD+Verdana"/>
                <w:color w:val="FF0000"/>
                <w:sz w:val="22"/>
                <w:szCs w:val="22"/>
              </w:rPr>
            </w:pPr>
            <w:r w:rsidRPr="00BC28AC">
              <w:rPr>
                <w:rFonts w:cs="DJIFAD+Verdana"/>
                <w:b/>
                <w:bCs/>
                <w:i/>
                <w:iCs/>
                <w:color w:val="FF0000"/>
                <w:sz w:val="22"/>
                <w:szCs w:val="22"/>
              </w:rPr>
              <w:t xml:space="preserve">R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026" w14:textId="5E6055CD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r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ecalling the main ideas relevant to the task environment</w:t>
            </w:r>
            <w:r w:rsidR="00EF3287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die auf die Aufgabe bezogenen zentralen Gedanken abrufen </w:t>
            </w:r>
          </w:p>
        </w:tc>
        <w:bookmarkStart w:id="0" w:name="_GoBack"/>
        <w:bookmarkEnd w:id="0"/>
      </w:tr>
      <w:tr w:rsidR="00943785" w14:paraId="4F013670" w14:textId="77777777" w:rsidTr="00BC28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92B" w14:textId="0E369E0E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d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igest the material</w:t>
            </w:r>
            <w:r w:rsidR="00EF3287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Informationen in eigenes Wissen einordnen; wenn nötig umstrukturieren oder korrigieren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C99CA" w14:textId="77777777" w:rsidR="00943785" w:rsidRPr="00BC28AC" w:rsidRDefault="00943785" w:rsidP="00BC28AC">
            <w:pPr>
              <w:pStyle w:val="berschrift2"/>
              <w:spacing w:before="120" w:after="120"/>
              <w:ind w:left="170" w:right="170"/>
              <w:jc w:val="center"/>
              <w:rPr>
                <w:rFonts w:cs="DJIFAD+Verdana"/>
                <w:color w:val="FF0000"/>
                <w:sz w:val="22"/>
                <w:szCs w:val="22"/>
              </w:rPr>
            </w:pPr>
            <w:r w:rsidRPr="00BC28AC">
              <w:rPr>
                <w:rFonts w:cs="DJIFAD+Verdana"/>
                <w:b/>
                <w:bCs/>
                <w:i/>
                <w:iCs/>
                <w:color w:val="FF0000"/>
                <w:sz w:val="22"/>
                <w:szCs w:val="22"/>
              </w:rPr>
              <w:t xml:space="preserve">D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4E6" w14:textId="1DCD0C5F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d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etailing the main ideas with specific information</w:t>
            </w:r>
            <w:r w:rsidR="00EF3287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die wichtigen Gedanken mit Hilfe von weiteren Detailinformationen voneinander abgrenzen </w:t>
            </w:r>
          </w:p>
        </w:tc>
      </w:tr>
      <w:tr w:rsidR="00943785" w14:paraId="520B2A9F" w14:textId="77777777" w:rsidTr="00BC28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C54" w14:textId="605A497D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e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xpanding knowledge</w:t>
            </w:r>
            <w:r w:rsidR="00EF3287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über den Text hinausgehende Informationen (eigenes Wissen oder andere Informationsquellen)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153F6" w14:textId="77777777" w:rsidR="00943785" w:rsidRPr="00BC28AC" w:rsidRDefault="00943785" w:rsidP="00BC28AC">
            <w:pPr>
              <w:pStyle w:val="berschrift2"/>
              <w:spacing w:before="120" w:after="120"/>
              <w:ind w:left="170" w:right="170"/>
              <w:jc w:val="center"/>
              <w:rPr>
                <w:rFonts w:cs="DJIFAD+Verdana"/>
                <w:color w:val="FF0000"/>
                <w:sz w:val="22"/>
                <w:szCs w:val="22"/>
              </w:rPr>
            </w:pPr>
            <w:r w:rsidRPr="00BC28AC">
              <w:rPr>
                <w:rFonts w:cs="DJIFAD+Verdana"/>
                <w:b/>
                <w:bCs/>
                <w:i/>
                <w:iCs/>
                <w:color w:val="FF0000"/>
                <w:sz w:val="22"/>
                <w:szCs w:val="22"/>
              </w:rPr>
              <w:t xml:space="preserve">E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824" w14:textId="6A0EAC49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e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xpanding the information into an outline</w:t>
            </w:r>
            <w:r w:rsid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die Informationen entsprechend der Aufgabenstellung strukturieren </w:t>
            </w:r>
          </w:p>
        </w:tc>
      </w:tr>
      <w:tr w:rsidR="00943785" w14:paraId="3BB7D3AD" w14:textId="77777777" w:rsidTr="00BC28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509" w14:textId="0D589677" w:rsidR="00943785" w:rsidRPr="00BC28AC" w:rsidRDefault="00EF3287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R</w:t>
            </w:r>
            <w:r w:rsidR="00943785"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eview</w:t>
            </w:r>
            <w:r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="00943785"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3785"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Lernergebnis überprüfen, Schwierigkeiten und Lücken im Textverständnis erkennen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0D3A1" w14:textId="77777777" w:rsidR="00943785" w:rsidRPr="00BC28AC" w:rsidRDefault="00943785" w:rsidP="00BC28AC">
            <w:pPr>
              <w:pStyle w:val="berschrift2"/>
              <w:spacing w:before="120" w:after="120"/>
              <w:ind w:left="170" w:right="170"/>
              <w:jc w:val="center"/>
              <w:rPr>
                <w:rFonts w:cs="DJIFAD+Verdana"/>
                <w:color w:val="FF0000"/>
                <w:sz w:val="22"/>
                <w:szCs w:val="22"/>
              </w:rPr>
            </w:pPr>
            <w:r w:rsidRPr="00BC28AC">
              <w:rPr>
                <w:rFonts w:cs="DJIFAD+Verdana"/>
                <w:b/>
                <w:bCs/>
                <w:i/>
                <w:iCs/>
                <w:color w:val="FF0000"/>
                <w:sz w:val="22"/>
                <w:szCs w:val="22"/>
              </w:rPr>
              <w:t xml:space="preserve">R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B84" w14:textId="2C3E389D" w:rsidR="00943785" w:rsidRPr="00BC28AC" w:rsidRDefault="00BC28AC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FAD+Verdana"/>
                <w:b/>
                <w:bCs/>
                <w:i/>
                <w:iCs/>
                <w:color w:val="FF0000"/>
                <w:sz w:val="22"/>
                <w:szCs w:val="22"/>
              </w:rPr>
              <w:t>R</w:t>
            </w:r>
            <w:r w:rsidR="00943785"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eviewing</w:t>
            </w:r>
            <w:r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>:</w:t>
            </w:r>
            <w:r w:rsidR="00943785"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3785"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überprüfen, ob das erreichte Lernergebnis angemessen ist </w:t>
            </w:r>
          </w:p>
        </w:tc>
      </w:tr>
      <w:tr w:rsidR="00943785" w14:paraId="3E3607B5" w14:textId="77777777" w:rsidTr="00BC28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05CD5" w14:textId="77777777" w:rsidR="00943785" w:rsidRPr="00BC28AC" w:rsidRDefault="00943785" w:rsidP="00BC28AC">
            <w:pPr>
              <w:pStyle w:val="StandardWeb"/>
              <w:spacing w:before="120" w:beforeAutospacing="0" w:after="120" w:afterAutospacing="0"/>
              <w:ind w:left="170" w:right="170"/>
              <w:jc w:val="center"/>
              <w:rPr>
                <w:rFonts w:asciiTheme="majorHAnsi" w:hAnsiTheme="majorHAnsi" w:cs="DJIENI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ENI+Verdana"/>
                <w:b/>
                <w:bCs/>
                <w:color w:val="000000"/>
                <w:sz w:val="22"/>
                <w:szCs w:val="22"/>
              </w:rPr>
              <w:t xml:space="preserve">Sekundärstrategien </w:t>
            </w:r>
          </w:p>
        </w:tc>
      </w:tr>
      <w:tr w:rsidR="00943785" w14:paraId="5D1E626A" w14:textId="77777777" w:rsidTr="00BC28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AAA" w14:textId="77777777" w:rsidR="00943785" w:rsidRPr="00BC28AC" w:rsidRDefault="00943785" w:rsidP="00BC28AC">
            <w:pPr>
              <w:spacing w:before="120" w:after="120"/>
              <w:ind w:left="170" w:right="170"/>
              <w:rPr>
                <w:rFonts w:asciiTheme="majorHAnsi" w:hAnsiTheme="majorHAnsi" w:cs="DJIEMM+Verdana"/>
                <w:color w:val="000000"/>
                <w:sz w:val="22"/>
                <w:szCs w:val="22"/>
              </w:rPr>
            </w:pPr>
            <w:r w:rsidRPr="00BC28AC">
              <w:rPr>
                <w:rFonts w:asciiTheme="majorHAnsi" w:hAnsiTheme="majorHAnsi" w:cs="DJIEMM+Verdana"/>
                <w:color w:val="000000"/>
                <w:sz w:val="22"/>
                <w:szCs w:val="22"/>
              </w:rPr>
              <w:t xml:space="preserve">Zielsetzung(en), Zeitplanung, Konzentrationssteuerung und -aufrechterhaltung, Überwachung des Lernvorganges und Diagnose des eigenen Forschritts beim Lernen </w:t>
            </w:r>
          </w:p>
        </w:tc>
      </w:tr>
    </w:tbl>
    <w:p w14:paraId="736F6CCA" w14:textId="30761B53" w:rsidR="00FA1870" w:rsidRPr="00BC28AC" w:rsidRDefault="00BC28AC" w:rsidP="00BC28AC">
      <w:pPr>
        <w:autoSpaceDE w:val="0"/>
        <w:autoSpaceDN w:val="0"/>
        <w:adjustRightInd w:val="0"/>
        <w:spacing w:before="100" w:after="100"/>
        <w:rPr>
          <w:rFonts w:ascii="DJIEMM+Verdana" w:hAnsi="DJIEMM+Verdana" w:cs="DJIEMM+Verdana"/>
          <w:color w:val="000000"/>
          <w:sz w:val="16"/>
          <w:szCs w:val="16"/>
        </w:rPr>
      </w:pPr>
      <w:r w:rsidRPr="00BC28AC">
        <w:rPr>
          <w:rFonts w:ascii="DJIEMM+Verdana" w:hAnsi="DJIEMM+Verdana" w:cs="DJIEMM+Verdana"/>
          <w:color w:val="000000"/>
          <w:sz w:val="16"/>
          <w:szCs w:val="16"/>
        </w:rPr>
        <w:t>(vgl. Christmann, Ursula und Norbert Groeben (1999): Psychologie des Lesens, in: Handbuch Lesen (1999): hrsg. v. Bodo Franzmann, Klaus Hasemann, Dietrich Löffler und Erich Schön, München: Saur 1999, S.145-223) *Dansereau, D. u.a. (1979): Development and evaluation of a learning strategy training program, on: Journal of Educational Psychology 71, 1(1979), S.64-73</w:t>
      </w:r>
    </w:p>
    <w:sectPr w:rsidR="00FA1870" w:rsidRPr="00BC28AC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C9488" w14:textId="77777777" w:rsidR="000B6820" w:rsidRDefault="000B6820" w:rsidP="003016EC">
      <w:r>
        <w:separator/>
      </w:r>
    </w:p>
  </w:endnote>
  <w:endnote w:type="continuationSeparator" w:id="0">
    <w:p w14:paraId="05EC26CD" w14:textId="77777777" w:rsidR="000B6820" w:rsidRDefault="000B6820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JIEM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JIEMM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IENI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IFA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33FC68AC" w:rsidR="00227AF7" w:rsidRPr="001B52BE" w:rsidRDefault="001B52BE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1312" behindDoc="0" locked="0" layoutInCell="1" allowOverlap="1" wp14:anchorId="2231BAFD" wp14:editId="68DF3D9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="00382238" w:rsidRPr="0038223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382238" w:rsidRPr="00382238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 w:rsidR="0038223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8065F5C" w:rsidR="00227AF7" w:rsidRPr="0026014A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" name="Grafik 10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976B08" w:rsidRPr="00382238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 w:rsidR="00976B0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84B59" w14:textId="77777777" w:rsidR="000B6820" w:rsidRDefault="000B6820" w:rsidP="003016EC">
      <w:r>
        <w:separator/>
      </w:r>
    </w:p>
  </w:footnote>
  <w:footnote w:type="continuationSeparator" w:id="0">
    <w:p w14:paraId="4BB0214C" w14:textId="77777777" w:rsidR="000B6820" w:rsidRDefault="000B6820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77777777" w:rsidR="001B6478" w:rsidRPr="003B0F77" w:rsidRDefault="001B647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706F50C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5168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="00976B08">
      <w:rPr>
        <w:rFonts w:asciiTheme="majorHAnsi" w:hAnsiTheme="majorHAnsi"/>
        <w:sz w:val="20"/>
      </w:rPr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201</w:t>
    </w:r>
    <w:r w:rsidR="00F80348">
      <w:rPr>
        <w:rFonts w:asciiTheme="majorHAnsi" w:hAnsiTheme="majorHAnsi"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1D1D"/>
    <w:multiLevelType w:val="multilevel"/>
    <w:tmpl w:val="0ED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01A7"/>
    <w:multiLevelType w:val="hybridMultilevel"/>
    <w:tmpl w:val="2CDC3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03C6"/>
    <w:multiLevelType w:val="multilevel"/>
    <w:tmpl w:val="CD1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52CF"/>
    <w:multiLevelType w:val="multilevel"/>
    <w:tmpl w:val="15F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DDA"/>
    <w:multiLevelType w:val="multilevel"/>
    <w:tmpl w:val="0EB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3D70"/>
    <w:multiLevelType w:val="multilevel"/>
    <w:tmpl w:val="3E7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C6FDB"/>
    <w:multiLevelType w:val="hybridMultilevel"/>
    <w:tmpl w:val="9E8A9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F3515"/>
    <w:multiLevelType w:val="hybridMultilevel"/>
    <w:tmpl w:val="5B369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E540E"/>
    <w:multiLevelType w:val="multilevel"/>
    <w:tmpl w:val="C0B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10EA7"/>
    <w:multiLevelType w:val="multilevel"/>
    <w:tmpl w:val="AFE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8"/>
  </w:num>
  <w:num w:numId="5">
    <w:abstractNumId w:val="31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32"/>
  </w:num>
  <w:num w:numId="11">
    <w:abstractNumId w:val="28"/>
  </w:num>
  <w:num w:numId="12">
    <w:abstractNumId w:val="21"/>
  </w:num>
  <w:num w:numId="13">
    <w:abstractNumId w:val="30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33"/>
  </w:num>
  <w:num w:numId="20">
    <w:abstractNumId w:val="25"/>
  </w:num>
  <w:num w:numId="21">
    <w:abstractNumId w:val="1"/>
  </w:num>
  <w:num w:numId="22">
    <w:abstractNumId w:val="5"/>
  </w:num>
  <w:num w:numId="23">
    <w:abstractNumId w:val="24"/>
  </w:num>
  <w:num w:numId="24">
    <w:abstractNumId w:val="23"/>
  </w:num>
  <w:num w:numId="25">
    <w:abstractNumId w:val="34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4"/>
  </w:num>
  <w:num w:numId="31">
    <w:abstractNumId w:val="2"/>
  </w:num>
  <w:num w:numId="32">
    <w:abstractNumId w:val="12"/>
  </w:num>
  <w:num w:numId="33">
    <w:abstractNumId w:val="16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320C5"/>
    <w:rsid w:val="00037E97"/>
    <w:rsid w:val="00057F89"/>
    <w:rsid w:val="00065E89"/>
    <w:rsid w:val="000A0C8B"/>
    <w:rsid w:val="000A2339"/>
    <w:rsid w:val="000B6820"/>
    <w:rsid w:val="000F3433"/>
    <w:rsid w:val="00153614"/>
    <w:rsid w:val="00183329"/>
    <w:rsid w:val="0019512F"/>
    <w:rsid w:val="001B52BE"/>
    <w:rsid w:val="001B6478"/>
    <w:rsid w:val="001C62B6"/>
    <w:rsid w:val="00216E98"/>
    <w:rsid w:val="00227AF7"/>
    <w:rsid w:val="00236BDA"/>
    <w:rsid w:val="0026014A"/>
    <w:rsid w:val="002B380A"/>
    <w:rsid w:val="002C7DAA"/>
    <w:rsid w:val="002D51EC"/>
    <w:rsid w:val="002F2CA4"/>
    <w:rsid w:val="002F7A3B"/>
    <w:rsid w:val="003016EC"/>
    <w:rsid w:val="00322803"/>
    <w:rsid w:val="0036238C"/>
    <w:rsid w:val="00364A8E"/>
    <w:rsid w:val="00370F12"/>
    <w:rsid w:val="00372475"/>
    <w:rsid w:val="00382238"/>
    <w:rsid w:val="003A41EC"/>
    <w:rsid w:val="003B0F77"/>
    <w:rsid w:val="003B2FF8"/>
    <w:rsid w:val="003C698F"/>
    <w:rsid w:val="003F0DEC"/>
    <w:rsid w:val="003F115E"/>
    <w:rsid w:val="003F7FF2"/>
    <w:rsid w:val="00405AD6"/>
    <w:rsid w:val="004231AC"/>
    <w:rsid w:val="004540DB"/>
    <w:rsid w:val="00455B09"/>
    <w:rsid w:val="00473430"/>
    <w:rsid w:val="00486EE5"/>
    <w:rsid w:val="004D4C73"/>
    <w:rsid w:val="004F4668"/>
    <w:rsid w:val="00546872"/>
    <w:rsid w:val="005513EF"/>
    <w:rsid w:val="00592822"/>
    <w:rsid w:val="005B4958"/>
    <w:rsid w:val="005B7D8B"/>
    <w:rsid w:val="005F1807"/>
    <w:rsid w:val="005F4234"/>
    <w:rsid w:val="006411D4"/>
    <w:rsid w:val="00643843"/>
    <w:rsid w:val="00661704"/>
    <w:rsid w:val="006629B6"/>
    <w:rsid w:val="0069423B"/>
    <w:rsid w:val="006D2176"/>
    <w:rsid w:val="00707ECD"/>
    <w:rsid w:val="00717F9D"/>
    <w:rsid w:val="0073794C"/>
    <w:rsid w:val="007528A3"/>
    <w:rsid w:val="00767C93"/>
    <w:rsid w:val="0078630F"/>
    <w:rsid w:val="007A1D51"/>
    <w:rsid w:val="007D56D8"/>
    <w:rsid w:val="007F744C"/>
    <w:rsid w:val="00800374"/>
    <w:rsid w:val="0085791F"/>
    <w:rsid w:val="008A7AED"/>
    <w:rsid w:val="008E43E6"/>
    <w:rsid w:val="008F6F18"/>
    <w:rsid w:val="00904E22"/>
    <w:rsid w:val="00913AF8"/>
    <w:rsid w:val="00935348"/>
    <w:rsid w:val="00943785"/>
    <w:rsid w:val="00951D30"/>
    <w:rsid w:val="00964750"/>
    <w:rsid w:val="00976B08"/>
    <w:rsid w:val="00985A16"/>
    <w:rsid w:val="00987661"/>
    <w:rsid w:val="009A1099"/>
    <w:rsid w:val="009A5419"/>
    <w:rsid w:val="009B080D"/>
    <w:rsid w:val="009B57D5"/>
    <w:rsid w:val="00A05BA7"/>
    <w:rsid w:val="00A27D10"/>
    <w:rsid w:val="00A559DB"/>
    <w:rsid w:val="00AA7AC4"/>
    <w:rsid w:val="00AB4BA4"/>
    <w:rsid w:val="00AF7544"/>
    <w:rsid w:val="00B27EC3"/>
    <w:rsid w:val="00B35E13"/>
    <w:rsid w:val="00B843EB"/>
    <w:rsid w:val="00BB562E"/>
    <w:rsid w:val="00BC28AC"/>
    <w:rsid w:val="00BD6540"/>
    <w:rsid w:val="00C0249D"/>
    <w:rsid w:val="00C47743"/>
    <w:rsid w:val="00C61BAA"/>
    <w:rsid w:val="00C61D7E"/>
    <w:rsid w:val="00D2507C"/>
    <w:rsid w:val="00D327EA"/>
    <w:rsid w:val="00D32EE8"/>
    <w:rsid w:val="00D34DBA"/>
    <w:rsid w:val="00D564FD"/>
    <w:rsid w:val="00D768A1"/>
    <w:rsid w:val="00D9673C"/>
    <w:rsid w:val="00DF7618"/>
    <w:rsid w:val="00E73416"/>
    <w:rsid w:val="00EC2549"/>
    <w:rsid w:val="00EE2BE8"/>
    <w:rsid w:val="00EF0591"/>
    <w:rsid w:val="00EF3287"/>
    <w:rsid w:val="00F042D7"/>
    <w:rsid w:val="00F0664A"/>
    <w:rsid w:val="00F300C0"/>
    <w:rsid w:val="00F3736C"/>
    <w:rsid w:val="00F746D1"/>
    <w:rsid w:val="00F80348"/>
    <w:rsid w:val="00F8035C"/>
    <w:rsid w:val="00FA187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34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64A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43785"/>
    <w:pPr>
      <w:autoSpaceDE w:val="0"/>
      <w:autoSpaceDN w:val="0"/>
      <w:adjustRightInd w:val="0"/>
    </w:pPr>
    <w:rPr>
      <w:rFonts w:ascii="DJIEMA+Arial,Bold" w:hAnsi="DJIEMA+Arial,Bold" w:cs="DJIEMA+Arial,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sam.de/arb/arb_les_strat_0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achsam.de/arb/arb_les_strat_0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sam.de/arb/arb_les_strat_2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eachsam.de/quell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sam.de/pdf/arb_les_murder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DEFF4-73E8-4B66-9EDD-15661465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Lesestrategien MURDER-Schema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Egle</dc:creator>
  <cp:lastModifiedBy>Gert Egle</cp:lastModifiedBy>
  <cp:revision>2</cp:revision>
  <cp:lastPrinted>2019-11-06T09:12:00Z</cp:lastPrinted>
  <dcterms:created xsi:type="dcterms:W3CDTF">2019-11-06T09:49:00Z</dcterms:created>
  <dcterms:modified xsi:type="dcterms:W3CDTF">2019-11-06T09:49:00Z</dcterms:modified>
</cp:coreProperties>
</file>